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13.xml" ContentType="application/vnd.openxmlformats-officedocument.wordprocessingml.head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20"/>
        <w:jc w:val="right"/>
        <w:keepLines/>
        <w:keepNext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1020"/>
        <w:keepLines/>
        <w:keepNext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keepLines/>
        <w:keepNext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keepLines/>
        <w:keepNext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jc w:val="right"/>
        <w:keepLines/>
        <w:keepNext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Приложение №1 к Документации о закупке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keepLines/>
        <w:keepNext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keepLines/>
        <w:keepNext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keepLines/>
        <w:keepNext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keepLines/>
        <w:keepNext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keepLines/>
        <w:keepNext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keepLines/>
        <w:keepNext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jc w:val="center"/>
        <w:keepLines/>
        <w:keepNext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Технические требования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jc w:val="center"/>
        <w:spacing w:line="36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ОКПД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2 27.11.61.120 Поставка щёточно-контактного аппарата (1 шт) для технического перевооружения ЩКА турбогенераторов ст.№1-3 Благовещенской ТЭЦ в рамках реализации инвестиционного проекта N_505-АГ-89 г. Благовещенск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jc w:val="center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(ПП: 3.4-ТПиР4-2022-БлТЭЦ) (ИП: N_505-АГ-89)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jc w:val="center"/>
        <w:keepLines/>
        <w:keepNext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 xml:space="preserve">Лот №22235000-ТПИР ОТМ-2027-ДГК-БлТЭЦ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jc w:val="center"/>
        <w:keepLines/>
        <w:keepNext/>
        <w:spacing w:line="360" w:lineRule="auto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  <w:sz w:val="26"/>
          <w:szCs w:val="26"/>
        </w:rPr>
      </w:r>
      <w:r>
        <w:rPr>
          <w:rFonts w:ascii="Times New Roman" w:hAnsi="Times New Roman" w:cs="Times New Roman"/>
          <w:b/>
          <w:i/>
          <w:sz w:val="26"/>
          <w:szCs w:val="26"/>
        </w:rPr>
      </w:r>
      <w:r>
        <w:rPr>
          <w:rFonts w:ascii="Times New Roman" w:hAnsi="Times New Roman" w:cs="Times New Roman"/>
          <w:b/>
          <w:i/>
          <w:sz w:val="26"/>
          <w:szCs w:val="26"/>
        </w:rPr>
      </w:r>
    </w:p>
    <w:p>
      <w:pPr>
        <w:pStyle w:val="1020"/>
        <w:jc w:val="both"/>
        <w:keepLines/>
        <w:keepNext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</w:rPr>
        <w:br w:type="page" w:clear="all"/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20"/>
        <w:jc w:val="center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hd w:val="clear" w:color="auto" w:fill="ffffff"/>
        </w:rPr>
        <w:t xml:space="preserve">СОДЕРЖАНИЕ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1107"/>
            <w:spacing w:line="360" w:lineRule="auto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  <w:fldChar w:fldCharType="begin"/>
          </w:r>
          <w:r>
            <w:rPr>
              <w:rStyle w:val="1075"/>
              <w:rFonts w:ascii="Times New Roman" w:hAnsi="Times New Roman" w:eastAsia="Times New Roman" w:cs="Times New Roman"/>
              <w:vanish w:val="0"/>
              <w:shd w:val="clear" w:color="auto" w:fill="ffffff"/>
            </w:rPr>
            <w:instrText xml:space="preserve"> TOC \z \o "1-4" \u \h</w:instrText>
          </w:r>
          <w:r>
            <w:rPr>
              <w:rStyle w:val="1075"/>
              <w:rFonts w:ascii="Times New Roman" w:hAnsi="Times New Roman" w:eastAsia="Times New Roman" w:cs="Times New Roman"/>
              <w:vanish w:val="0"/>
              <w:shd w:val="clear" w:color="auto" w:fill="ffffff"/>
            </w:rPr>
            <w:fldChar w:fldCharType="separate"/>
          </w:r>
          <w:hyperlink w:tooltip="#_Toc75446566" w:anchor="_Toc75446566" w:history="1">
            <w:r>
              <w:rPr>
                <w:rStyle w:val="1075"/>
                <w:rFonts w:ascii="Times New Roman" w:hAnsi="Times New Roman" w:eastAsia="Times New Roman" w:cs="Times New Roman"/>
                <w:vanish w:val="0"/>
                <w:shd w:val="clear" w:color="auto" w:fill="ffffff"/>
              </w:rPr>
              <w:t xml:space="preserve">1.</w:t>
            </w:r>
            <w:r>
              <w:rPr>
                <w:rStyle w:val="1075"/>
                <w:rFonts w:ascii="Times New Roman" w:hAnsi="Times New Roman" w:eastAsia="Times New Roman" w:cs="Times New Roman" w:eastAsiaTheme="minorEastAsia"/>
                <w:b w:val="0"/>
                <w:bCs w:val="0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1075"/>
                <w:rFonts w:ascii="Times New Roman" w:hAnsi="Times New Roman" w:eastAsia="Times New Roman" w:cs="Times New Roman"/>
                <w:shd w:val="clear" w:color="auto" w:fill="ffffff"/>
              </w:rPr>
              <w:t xml:space="preserve">Общие сведения</w:t>
              <w:tab/>
            </w:r>
          </w:hyperlink>
          <w:r>
            <w:rPr>
              <w:rFonts w:ascii="Times New Roman" w:hAnsi="Times New Roman" w:eastAsia="Times New Roman" w:cs="Times New Roman"/>
              <w:shd w:val="clear" w:color="auto" w:fill="ffffff"/>
            </w:rPr>
            <w:t xml:space="preserve">3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18"/>
            <w:spacing w:line="360" w:lineRule="auto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</w:r>
          <w:hyperlink w:tooltip="#_Toc75446567" w:anchor="_Toc75446567" w:history="1">
            <w:r>
              <w:rPr>
                <w:rStyle w:val="1075"/>
                <w:rFonts w:ascii="Times New Roman" w:hAnsi="Times New Roman" w:eastAsia="Times New Roman" w:cs="Times New Roman"/>
                <w:iCs/>
                <w:vanish w:val="0"/>
                <w:shd w:val="clear" w:color="auto" w:fill="ffffff"/>
              </w:rPr>
              <w:t xml:space="preserve">1.1.</w:t>
            </w:r>
            <w:r>
              <w:rPr>
                <w:rStyle w:val="1075"/>
                <w:rFonts w:ascii="Times New Roman" w:hAnsi="Times New Roman" w:eastAsia="Times New Roman" w:cs="Times New Roman" w:eastAsiaTheme="minorEastAsia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1075"/>
                <w:rFonts w:ascii="Times New Roman" w:hAnsi="Times New Roman" w:eastAsia="Times New Roman" w:cs="Times New Roman"/>
                <w:shd w:val="clear" w:color="auto" w:fill="ffffff"/>
              </w:rPr>
              <w:t xml:space="preserve">Обозначения и сокращения</w:t>
              <w:tab/>
            </w:r>
          </w:hyperlink>
          <w:r>
            <w:rPr>
              <w:rFonts w:ascii="Times New Roman" w:hAnsi="Times New Roman" w:eastAsia="Times New Roman" w:cs="Times New Roman"/>
              <w:shd w:val="clear" w:color="auto" w:fill="ffffff"/>
            </w:rPr>
            <w:t xml:space="preserve">3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18"/>
            <w:spacing w:line="360" w:lineRule="auto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</w:r>
          <w:hyperlink w:tooltip="#_Toc75446568" w:anchor="_Toc75446568" w:history="1">
            <w:r>
              <w:rPr>
                <w:rStyle w:val="1075"/>
                <w:rFonts w:ascii="Times New Roman" w:hAnsi="Times New Roman" w:eastAsia="Times New Roman" w:cs="Times New Roman"/>
                <w:iCs/>
                <w:vanish w:val="0"/>
                <w:shd w:val="clear" w:color="auto" w:fill="ffffff"/>
              </w:rPr>
              <w:t xml:space="preserve">1.2.</w:t>
            </w:r>
            <w:r>
              <w:rPr>
                <w:rStyle w:val="1075"/>
                <w:rFonts w:ascii="Times New Roman" w:hAnsi="Times New Roman" w:eastAsia="Times New Roman" w:cs="Times New Roman" w:eastAsiaTheme="minorEastAsia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1075"/>
                <w:rFonts w:ascii="Times New Roman" w:hAnsi="Times New Roman" w:eastAsia="Times New Roman" w:cs="Times New Roman"/>
                <w:shd w:val="clear" w:color="auto" w:fill="ffffff"/>
              </w:rPr>
              <w:t xml:space="preserve">Наименование закупаемой продукции</w:t>
              <w:tab/>
            </w:r>
          </w:hyperlink>
          <w:r>
            <w:rPr>
              <w:rFonts w:ascii="Times New Roman" w:hAnsi="Times New Roman" w:eastAsia="Times New Roman" w:cs="Times New Roman"/>
              <w:shd w:val="clear" w:color="auto" w:fill="ffffff"/>
            </w:rPr>
            <w:t xml:space="preserve">3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07"/>
            <w:spacing w:line="360" w:lineRule="auto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</w:r>
          <w:hyperlink w:tooltip="#_Toc75446573" w:anchor="_Toc75446573" w:history="1">
            <w:r>
              <w:rPr>
                <w:rStyle w:val="1075"/>
                <w:rFonts w:ascii="Times New Roman" w:hAnsi="Times New Roman" w:eastAsia="Times New Roman" w:cs="Times New Roman"/>
                <w:vanish w:val="0"/>
                <w:shd w:val="clear" w:color="auto" w:fill="ffffff"/>
              </w:rPr>
              <w:t xml:space="preserve">2.</w:t>
            </w:r>
            <w:r>
              <w:rPr>
                <w:rStyle w:val="1075"/>
                <w:rFonts w:ascii="Times New Roman" w:hAnsi="Times New Roman" w:eastAsia="Times New Roman" w:cs="Times New Roman" w:eastAsiaTheme="minorEastAsia"/>
                <w:b w:val="0"/>
                <w:bCs w:val="0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1075"/>
                <w:rFonts w:ascii="Times New Roman" w:hAnsi="Times New Roman" w:eastAsia="Times New Roman" w:cs="Times New Roman"/>
                <w:iCs/>
                <w:shd w:val="clear" w:color="auto" w:fill="ffffff"/>
              </w:rPr>
              <w:t xml:space="preserve">Требования к продукции</w:t>
            </w:r>
            <w:r>
              <w:rPr>
                <w:rStyle w:val="1075"/>
                <w:rFonts w:ascii="Times New Roman" w:hAnsi="Times New Roman" w:eastAsia="Times New Roman" w:cs="Times New Roman"/>
                <w:shd w:val="clear" w:color="auto" w:fill="ffffff"/>
              </w:rPr>
              <w:tab/>
            </w:r>
          </w:hyperlink>
          <w:r>
            <w:rPr>
              <w:rFonts w:ascii="Times New Roman" w:hAnsi="Times New Roman" w:eastAsia="Times New Roman" w:cs="Times New Roman"/>
              <w:shd w:val="clear" w:color="auto" w:fill="ffffff"/>
            </w:rPr>
            <w:t xml:space="preserve">3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18"/>
            <w:spacing w:line="360" w:lineRule="auto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</w:r>
          <w:hyperlink w:tooltip="#_Toc75446574" w:anchor="_Toc75446574" w:history="1">
            <w:r>
              <w:rPr>
                <w:rStyle w:val="1075"/>
                <w:rFonts w:ascii="Times New Roman" w:hAnsi="Times New Roman" w:eastAsia="Times New Roman" w:cs="Times New Roman"/>
                <w:iCs/>
                <w:vanish w:val="0"/>
                <w:shd w:val="clear" w:color="auto" w:fill="ffffff"/>
              </w:rPr>
              <w:t xml:space="preserve">2.1.</w:t>
            </w:r>
            <w:r>
              <w:rPr>
                <w:rStyle w:val="1075"/>
                <w:rFonts w:ascii="Times New Roman" w:hAnsi="Times New Roman" w:eastAsia="Times New Roman" w:cs="Times New Roman" w:eastAsiaTheme="minorEastAsia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1075"/>
                <w:rFonts w:ascii="Times New Roman" w:hAnsi="Times New Roman" w:eastAsia="Times New Roman" w:cs="Times New Roman"/>
                <w:shd w:val="clear" w:color="auto" w:fill="ffffff"/>
              </w:rPr>
              <w:t xml:space="preserve">Требования к объемам и срокам поставки</w:t>
              <w:tab/>
            </w:r>
          </w:hyperlink>
          <w:r>
            <w:rPr>
              <w:rFonts w:ascii="Times New Roman" w:hAnsi="Times New Roman" w:eastAsia="Times New Roman" w:cs="Times New Roman"/>
              <w:shd w:val="clear" w:color="auto" w:fill="ffffff"/>
            </w:rPr>
            <w:t xml:space="preserve">3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08"/>
            <w:spacing w:line="360" w:lineRule="auto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</w:r>
          <w:hyperlink w:tooltip="#_Toc75446575" w:anchor="_Toc75446575" w:history="1">
            <w:r>
              <w:rPr>
                <w:rStyle w:val="1075"/>
                <w:rFonts w:ascii="Times New Roman" w:hAnsi="Times New Roman" w:eastAsia="Times New Roman" w:cs="Times New Roman"/>
                <w:vanish w:val="0"/>
                <w:shd w:val="clear" w:color="auto" w:fill="ffffff"/>
              </w:rPr>
              <w:t xml:space="preserve">2.1.1.</w:t>
            </w:r>
            <w:r>
              <w:rPr>
                <w:rStyle w:val="1075"/>
                <w:rFonts w:ascii="Times New Roman" w:hAnsi="Times New Roman" w:eastAsia="Times New Roman" w:cs="Times New Roman" w:eastAsiaTheme="minorEastAsia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1075"/>
                <w:rFonts w:ascii="Times New Roman" w:hAnsi="Times New Roman" w:eastAsia="Times New Roman" w:cs="Times New Roman"/>
                <w:shd w:val="clear" w:color="auto" w:fill="ffffff"/>
              </w:rPr>
              <w:t xml:space="preserve">Перечень и объем закупаемой продукции</w:t>
              <w:tab/>
            </w:r>
          </w:hyperlink>
          <w:r>
            <w:rPr>
              <w:rFonts w:ascii="Times New Roman" w:hAnsi="Times New Roman" w:eastAsia="Times New Roman" w:cs="Times New Roman"/>
              <w:shd w:val="clear" w:color="auto" w:fill="ffffff"/>
            </w:rPr>
            <w:t xml:space="preserve">3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07"/>
            <w:spacing w:line="360" w:lineRule="auto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</w:r>
          <w:hyperlink w:tooltip="#_Toc75446576" w:anchor="_Toc75446576" w:history="1">
            <w:r>
              <w:rPr>
                <w:rStyle w:val="1075"/>
                <w:rFonts w:ascii="Times New Roman" w:hAnsi="Times New Roman" w:eastAsia="Times New Roman" w:cs="Times New Roman"/>
                <w:vanish w:val="0"/>
                <w:shd w:val="clear" w:color="auto" w:fill="ffffff"/>
              </w:rPr>
              <w:t xml:space="preserve">Таблица 1.1 Перечень и объем закупаемой продукции</w:t>
              <w:tab/>
            </w:r>
          </w:hyperlink>
          <w:r>
            <w:rPr>
              <w:rFonts w:ascii="Times New Roman" w:hAnsi="Times New Roman" w:eastAsia="Times New Roman" w:cs="Times New Roman"/>
              <w:vanish w:val="0"/>
              <w:shd w:val="clear" w:color="auto" w:fill="ffffff"/>
            </w:rPr>
            <w:t xml:space="preserve">3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07"/>
            <w:spacing w:line="360" w:lineRule="auto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</w:r>
          <w:hyperlink w:tooltip="#_Toc75446577" w:anchor="_Toc75446577" w:history="1">
            <w:r>
              <w:rPr>
                <w:rStyle w:val="1075"/>
                <w:rFonts w:ascii="Times New Roman" w:hAnsi="Times New Roman" w:eastAsia="Times New Roman" w:cs="Times New Roman"/>
                <w:vanish w:val="0"/>
                <w:shd w:val="clear" w:color="auto" w:fill="ffffff"/>
              </w:rPr>
              <w:t xml:space="preserve">Таблица 1.2 Перечень и объем закупаемых сопутствующих услуг</w:t>
              <w:tab/>
            </w:r>
          </w:hyperlink>
          <w:r>
            <w:rPr>
              <w:rFonts w:ascii="Times New Roman" w:hAnsi="Times New Roman" w:eastAsia="Times New Roman" w:cs="Times New Roman"/>
              <w:vanish w:val="0"/>
              <w:shd w:val="clear" w:color="auto" w:fill="ffffff"/>
            </w:rPr>
            <w:t xml:space="preserve">4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08"/>
            <w:spacing w:line="360" w:lineRule="auto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</w:r>
          <w:hyperlink w:tooltip="#_Toc75446578" w:anchor="_Toc75446578" w:history="1">
            <w:r>
              <w:rPr>
                <w:rStyle w:val="1075"/>
                <w:rFonts w:ascii="Times New Roman" w:hAnsi="Times New Roman" w:eastAsia="Times New Roman" w:cs="Times New Roman"/>
                <w:vanish w:val="0"/>
                <w:shd w:val="clear" w:color="auto" w:fill="ffffff"/>
              </w:rPr>
              <w:t xml:space="preserve">2.1.2.</w:t>
            </w:r>
            <w:r>
              <w:rPr>
                <w:rStyle w:val="1075"/>
                <w:rFonts w:ascii="Times New Roman" w:hAnsi="Times New Roman" w:eastAsia="Times New Roman" w:cs="Times New Roman" w:eastAsiaTheme="minorEastAsia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1075"/>
                <w:rFonts w:ascii="Times New Roman" w:hAnsi="Times New Roman" w:eastAsia="Times New Roman" w:cs="Times New Roman"/>
                <w:shd w:val="clear" w:color="auto" w:fill="ffffff"/>
              </w:rPr>
              <w:t xml:space="preserve">Требования к срокам поставки продукции и оказания сопутствующих услуг</w:t>
              <w:tab/>
            </w:r>
          </w:hyperlink>
          <w:r>
            <w:rPr>
              <w:rFonts w:ascii="Times New Roman" w:hAnsi="Times New Roman" w:eastAsia="Times New Roman" w:cs="Times New Roman"/>
              <w:shd w:val="clear" w:color="auto" w:fill="ffffff"/>
            </w:rPr>
            <w:t xml:space="preserve">4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07"/>
            <w:spacing w:line="360" w:lineRule="auto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</w:r>
          <w:hyperlink w:tooltip="#_Toc75446579" w:anchor="_Toc75446579" w:history="1">
            <w:r>
              <w:rPr>
                <w:rStyle w:val="1075"/>
                <w:rFonts w:ascii="Times New Roman" w:hAnsi="Times New Roman" w:eastAsia="Times New Roman" w:cs="Times New Roman"/>
                <w:vanish w:val="0"/>
                <w:shd w:val="clear" w:color="auto" w:fill="ffffff"/>
              </w:rPr>
              <w:t xml:space="preserve">Таблица 2.1 Требования по срокам поставки продукции</w:t>
              <w:tab/>
            </w:r>
          </w:hyperlink>
          <w:r>
            <w:rPr>
              <w:rFonts w:ascii="Times New Roman" w:hAnsi="Times New Roman" w:eastAsia="Times New Roman" w:cs="Times New Roman"/>
              <w:vanish w:val="0"/>
              <w:shd w:val="clear" w:color="auto" w:fill="ffffff"/>
            </w:rPr>
            <w:t xml:space="preserve">4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07"/>
            <w:spacing w:line="360" w:lineRule="auto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</w:r>
          <w:hyperlink w:tooltip="#_Toc75446580" w:anchor="_Toc75446580" w:history="1">
            <w:r>
              <w:rPr>
                <w:rStyle w:val="1075"/>
                <w:rFonts w:ascii="Times New Roman" w:hAnsi="Times New Roman" w:eastAsia="Times New Roman" w:cs="Times New Roman"/>
                <w:vanish w:val="0"/>
                <w:shd w:val="clear" w:color="auto" w:fill="ffffff"/>
              </w:rPr>
              <w:t xml:space="preserve">Таблица 2.2 Требования по срокам оказания сопутствующих услуг</w:t>
              <w:tab/>
            </w:r>
          </w:hyperlink>
          <w:r>
            <w:rPr>
              <w:rFonts w:ascii="Times New Roman" w:hAnsi="Times New Roman" w:eastAsia="Times New Roman" w:cs="Times New Roman"/>
              <w:vanish w:val="0"/>
              <w:shd w:val="clear" w:color="auto" w:fill="ffffff"/>
            </w:rPr>
            <w:t xml:space="preserve">4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18"/>
            <w:spacing w:line="360" w:lineRule="auto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</w:r>
          <w:hyperlink w:tooltip="#_Toc75446581" w:anchor="_Toc75446581" w:history="1">
            <w:r>
              <w:rPr>
                <w:rStyle w:val="1075"/>
                <w:rFonts w:ascii="Times New Roman" w:hAnsi="Times New Roman" w:eastAsia="Times New Roman" w:cs="Times New Roman"/>
                <w:iCs/>
                <w:vanish w:val="0"/>
                <w:shd w:val="clear" w:color="auto" w:fill="ffffff"/>
              </w:rPr>
              <w:t xml:space="preserve">2.2.</w:t>
            </w:r>
            <w:r>
              <w:rPr>
                <w:rStyle w:val="1075"/>
                <w:rFonts w:ascii="Times New Roman" w:hAnsi="Times New Roman" w:eastAsia="Times New Roman" w:cs="Times New Roman" w:eastAsiaTheme="minorEastAsia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1075"/>
                <w:rFonts w:ascii="Times New Roman" w:hAnsi="Times New Roman" w:eastAsia="Times New Roman" w:cs="Times New Roman"/>
                <w:shd w:val="clear" w:color="auto" w:fill="ffffff"/>
              </w:rPr>
              <w:t xml:space="preserve">Требования к качеству продукции</w:t>
              <w:tab/>
            </w:r>
          </w:hyperlink>
          <w:r>
            <w:rPr>
              <w:rFonts w:ascii="Times New Roman" w:hAnsi="Times New Roman" w:eastAsia="Times New Roman" w:cs="Times New Roman"/>
              <w:shd w:val="clear" w:color="auto" w:fill="ffffff"/>
            </w:rPr>
            <w:t xml:space="preserve">5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020"/>
            <w:spacing w:line="360" w:lineRule="auto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  <w:sz w:val="20"/>
              <w:szCs w:val="20"/>
              <w:shd w:val="clear" w:color="auto" w:fill="ffffff"/>
            </w:rPr>
          </w:pPr>
          <w:r>
            <w:rPr>
              <w:rFonts w:ascii="Times New Roman" w:hAnsi="Times New Roman" w:eastAsia="Times New Roman" w:cs="Times New Roman"/>
              <w:sz w:val="20"/>
              <w:szCs w:val="20"/>
              <w:shd w:val="clear" w:color="auto" w:fill="ffffff"/>
            </w:rPr>
            <w:t xml:space="preserve">2.3.</w:t>
            <w:tab/>
            <w:t xml:space="preserve">Состав заявки</w:t>
            <w:tab/>
          </w:r>
          <w:r>
            <w:rPr>
              <w:rFonts w:ascii="Times New Roman" w:hAnsi="Times New Roman" w:eastAsia="Times New Roman" w:cs="Times New Roman"/>
              <w:sz w:val="20"/>
              <w:szCs w:val="20"/>
              <w:shd w:val="clear" w:color="auto" w:fill="ffffff"/>
            </w:rPr>
            <w:t xml:space="preserve">17</w:t>
          </w:r>
          <w:r>
            <w:rPr>
              <w:rFonts w:ascii="Times New Roman" w:hAnsi="Times New Roman" w:cs="Times New Roman"/>
              <w:sz w:val="20"/>
              <w:szCs w:val="20"/>
              <w:shd w:val="clear" w:color="auto" w:fill="ffffff"/>
            </w:rPr>
          </w:r>
          <w:r>
            <w:rPr>
              <w:rFonts w:ascii="Times New Roman" w:hAnsi="Times New Roman" w:cs="Times New Roman"/>
              <w:sz w:val="20"/>
              <w:szCs w:val="20"/>
              <w:shd w:val="clear" w:color="auto" w:fill="ffffff"/>
            </w:rPr>
          </w:r>
        </w:p>
        <w:p>
          <w:pPr>
            <w:pStyle w:val="1107"/>
            <w:spacing w:line="360" w:lineRule="auto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</w:rPr>
          </w:r>
          <w:hyperlink w:tooltip="#_Toc75446583" w:anchor="_Toc75446583" w:history="1">
            <w:r>
              <w:rPr>
                <w:rStyle w:val="1075"/>
                <w:rFonts w:ascii="Times New Roman" w:hAnsi="Times New Roman" w:eastAsia="Times New Roman" w:cs="Times New Roman"/>
                <w:vanish w:val="0"/>
                <w:shd w:val="clear" w:color="auto" w:fill="ffffff"/>
              </w:rPr>
              <w:t xml:space="preserve">3.</w:t>
            </w:r>
            <w:r>
              <w:rPr>
                <w:rStyle w:val="1075"/>
                <w:rFonts w:ascii="Times New Roman" w:hAnsi="Times New Roman" w:eastAsia="Times New Roman" w:cs="Times New Roman" w:eastAsiaTheme="minorEastAsia"/>
                <w:b w:val="0"/>
                <w:bCs w:val="0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1075"/>
                <w:rFonts w:ascii="Times New Roman" w:hAnsi="Times New Roman" w:eastAsia="Times New Roman" w:cs="Times New Roman"/>
                <w:shd w:val="clear" w:color="auto" w:fill="ffffff"/>
              </w:rPr>
              <w:t xml:space="preserve">Требования к Участнику закупки, признанным победителем</w:t>
              <w:tab/>
            </w:r>
          </w:hyperlink>
          <w:r>
            <w:rPr>
              <w:rFonts w:ascii="Times New Roman" w:hAnsi="Times New Roman" w:eastAsia="Times New Roman" w:cs="Times New Roman"/>
              <w:shd w:val="clear" w:color="auto" w:fill="ffffff"/>
            </w:rPr>
            <w:t xml:space="preserve">18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020"/>
            <w:spacing w:line="360" w:lineRule="auto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eastAsia="Times New Roman" w:cs="Times New Roman"/>
              <w:b/>
              <w:bCs/>
              <w:sz w:val="24"/>
              <w:szCs w:val="24"/>
              <w:shd w:val="clear" w:color="auto" w:fill="ffffff"/>
            </w:rPr>
            <w:t xml:space="preserve">4.</w:t>
            <w:tab/>
            <w:t xml:space="preserve">Требования к документации по ценообразованию на этапе закупки</w:t>
            <w:tab/>
          </w:r>
          <w:r>
            <w:rPr>
              <w:rFonts w:ascii="Times New Roman" w:hAnsi="Times New Roman" w:eastAsia="Times New Roman" w:cs="Times New Roman"/>
              <w:b/>
              <w:bCs/>
              <w:sz w:val="24"/>
              <w:szCs w:val="24"/>
              <w:shd w:val="clear" w:color="auto" w:fill="ffffff"/>
            </w:rPr>
            <w:t xml:space="preserve">18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</w:r>
        </w:p>
        <w:p>
          <w:pPr>
            <w:pStyle w:val="1107"/>
            <w:spacing w:line="360" w:lineRule="auto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eastAsia="Times New Roman" w:cs="Times New Roman"/>
              <w:vanish w:val="0"/>
              <w:shd w:val="clear" w:color="auto" w:fill="ffffff"/>
            </w:rPr>
            <w:t xml:space="preserve">5</w:t>
          </w:r>
          <w:hyperlink w:tooltip="#_Toc75446585" w:anchor="_Toc75446585" w:history="1">
            <w:r>
              <w:rPr>
                <w:rStyle w:val="1075"/>
                <w:rFonts w:ascii="Times New Roman" w:hAnsi="Times New Roman" w:eastAsia="Times New Roman" w:cs="Times New Roman"/>
                <w:vanish w:val="0"/>
                <w:shd w:val="clear" w:color="auto" w:fill="ffffff"/>
              </w:rPr>
              <w:t xml:space="preserve">.</w:t>
            </w:r>
            <w:r>
              <w:rPr>
                <w:rStyle w:val="1075"/>
                <w:rFonts w:ascii="Times New Roman" w:hAnsi="Times New Roman" w:eastAsia="Times New Roman" w:cs="Times New Roman" w:eastAsiaTheme="minorEastAsia"/>
                <w:b w:val="0"/>
                <w:bCs w:val="0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1075"/>
                <w:rFonts w:ascii="Times New Roman" w:hAnsi="Times New Roman" w:eastAsia="Times New Roman" w:cs="Times New Roman"/>
                <w:iCs/>
                <w:shd w:val="clear" w:color="auto" w:fill="ffffff"/>
              </w:rPr>
              <w:t xml:space="preserve">Приложения</w:t>
            </w:r>
            <w:r>
              <w:rPr>
                <w:rStyle w:val="1075"/>
                <w:rFonts w:ascii="Times New Roman" w:hAnsi="Times New Roman" w:eastAsia="Times New Roman" w:cs="Times New Roman"/>
                <w:shd w:val="clear" w:color="auto" w:fill="ffffff"/>
              </w:rPr>
              <w:tab/>
            </w:r>
          </w:hyperlink>
          <w:r>
            <w:rPr>
              <w:rFonts w:ascii="Times New Roman" w:hAnsi="Times New Roman" w:eastAsia="Times New Roman" w:cs="Times New Roman"/>
              <w:shd w:val="clear" w:color="auto" w:fill="ffffff"/>
            </w:rPr>
            <w:t xml:space="preserve">19</w:t>
          </w:r>
          <w:r>
            <w:rPr>
              <w:rFonts w:ascii="Times New Roman" w:hAnsi="Times New Roman" w:eastAsia="Times New Roman" w:cs="Times New Roman"/>
              <w:shd w:val="clear" w:color="auto" w:fill="ffffff"/>
            </w:rPr>
            <w:fldChar w:fldCharType="end"/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</w:sdtContent>
    </w:sdt>
    <w:p>
      <w:pPr>
        <w:pStyle w:val="1022"/>
        <w:ind w:left="0" w:firstLine="0"/>
        <w:spacing w:line="360" w:lineRule="auto"/>
        <w:tabs>
          <w:tab w:val="clear" w:pos="0" w:leader="none"/>
        </w:tabs>
        <w:rPr>
          <w:rFonts w:ascii="Times New Roman" w:hAnsi="Times New Roman" w:cs="Times New Roman"/>
          <w:b w:val="0"/>
          <w:i/>
          <w:shd w:val="clear" w:color="auto" w:fill="ffffff"/>
        </w:rPr>
      </w:pPr>
      <w:r>
        <w:rPr>
          <w:rFonts w:ascii="Times New Roman" w:hAnsi="Times New Roman" w:eastAsia="Times New Roman" w:cs="Times New Roman"/>
          <w:b w:val="0"/>
          <w:i/>
          <w:shd w:val="clear" w:color="auto" w:fill="ffffff"/>
        </w:rPr>
      </w:r>
      <w:r>
        <w:rPr>
          <w:rFonts w:ascii="Times New Roman" w:hAnsi="Times New Roman" w:cs="Times New Roman"/>
          <w:b w:val="0"/>
          <w:i/>
          <w:shd w:val="clear" w:color="auto" w:fill="ffffff"/>
        </w:rPr>
      </w:r>
      <w:r>
        <w:rPr>
          <w:rFonts w:ascii="Times New Roman" w:hAnsi="Times New Roman" w:cs="Times New Roman"/>
          <w:b w:val="0"/>
          <w:i/>
          <w:shd w:val="clear" w:color="auto" w:fill="ffffff"/>
        </w:rPr>
      </w:r>
    </w:p>
    <w:p>
      <w:pPr>
        <w:pStyle w:val="1020"/>
        <w:jc w:val="center"/>
        <w:keepLines/>
        <w:keepNext/>
        <w:spacing w:line="360" w:lineRule="auto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shd w:val="clear" w:color="auto" w:fill="ffffff"/>
        </w:rPr>
      </w:r>
      <w:r>
        <w:rPr>
          <w:rFonts w:ascii="Times New Roman" w:hAnsi="Times New Roman" w:eastAsia="Times New Roman" w:cs="Times New Roman"/>
        </w:rPr>
        <w:br w:type="page" w:clear="all"/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r>
    </w:p>
    <w:p>
      <w:pPr>
        <w:pStyle w:val="1021"/>
        <w:numPr>
          <w:ilvl w:val="0"/>
          <w:numId w:val="3"/>
        </w:numPr>
        <w:ind w:left="357" w:hanging="357"/>
        <w:jc w:val="center"/>
        <w:keepLines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0" w:name="_Toc75446566"/>
      <w:r>
        <w:rPr>
          <w:rFonts w:ascii="Times New Roman" w:hAnsi="Times New Roman" w:eastAsia="Times New Roman" w:cs="Times New Roman"/>
        </w:rPr>
      </w:r>
      <w:bookmarkStart w:id="1" w:name="_Toc51339692"/>
      <w:r>
        <w:rPr>
          <w:rFonts w:ascii="Times New Roman" w:hAnsi="Times New Roman" w:eastAsia="Times New Roman" w:cs="Times New Roman"/>
        </w:rPr>
        <w:t xml:space="preserve">Общие сведения</w:t>
      </w:r>
      <w:bookmarkEnd w:id="0"/>
      <w:r>
        <w:rPr>
          <w:rFonts w:ascii="Times New Roman" w:hAnsi="Times New Roman" w:eastAsia="Times New Roman" w:cs="Times New Roman"/>
        </w:rPr>
      </w:r>
      <w:bookmarkEnd w:id="1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4"/>
        <w:numPr>
          <w:ilvl w:val="1"/>
          <w:numId w:val="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2" w:name="_Toc75446567"/>
      <w:r>
        <w:rPr>
          <w:rFonts w:ascii="Times New Roman" w:hAnsi="Times New Roman" w:eastAsia="Times New Roman" w:cs="Times New Roman"/>
        </w:rPr>
      </w:r>
      <w:bookmarkStart w:id="3" w:name="_Toc46743505"/>
      <w:r>
        <w:rPr>
          <w:rFonts w:ascii="Times New Roman" w:hAnsi="Times New Roman" w:eastAsia="Times New Roman" w:cs="Times New Roman"/>
        </w:rPr>
        <w:t xml:space="preserve">Обозначения и сокращения</w:t>
      </w:r>
      <w:bookmarkEnd w:id="2"/>
      <w:r>
        <w:rPr>
          <w:rFonts w:ascii="Times New Roman" w:hAnsi="Times New Roman" w:eastAsia="Times New Roman" w:cs="Times New Roman"/>
        </w:rPr>
      </w:r>
      <w:bookmarkEnd w:id="3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0065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1"/>
        <w:gridCol w:w="8283"/>
      </w:tblGrid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1" w:type="dxa"/>
            <w:vAlign w:val="center"/>
            <w:textDirection w:val="lrTb"/>
            <w:noWrap w:val="false"/>
          </w:tcPr>
          <w:p>
            <w:pPr>
              <w:pStyle w:val="1020"/>
              <w:spacing w:line="36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ЩКА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83" w:type="dxa"/>
            <w:vAlign w:val="center"/>
            <w:textDirection w:val="lrTb"/>
            <w:noWrap w:val="false"/>
          </w:tcPr>
          <w:p>
            <w:pPr>
              <w:pStyle w:val="1020"/>
              <w:spacing w:line="36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Щёточно-контактный аппарат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1" w:type="dxa"/>
            <w:vAlign w:val="center"/>
            <w:textDirection w:val="lrTb"/>
            <w:noWrap w:val="false"/>
          </w:tcPr>
          <w:p>
            <w:pPr>
              <w:pStyle w:val="1020"/>
              <w:spacing w:line="36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83" w:type="dxa"/>
            <w:vAlign w:val="center"/>
            <w:textDirection w:val="lrTb"/>
            <w:noWrap w:val="false"/>
          </w:tcPr>
          <w:p>
            <w:pPr>
              <w:pStyle w:val="1020"/>
              <w:spacing w:line="36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Турбогенератор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1" w:type="dxa"/>
            <w:vAlign w:val="center"/>
            <w:textDirection w:val="lrTb"/>
            <w:noWrap w:val="false"/>
          </w:tcPr>
          <w:p>
            <w:pPr>
              <w:pStyle w:val="1020"/>
              <w:spacing w:line="36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ЩД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83" w:type="dxa"/>
            <w:vAlign w:val="center"/>
            <w:textDirection w:val="lrTb"/>
            <w:noWrap w:val="false"/>
          </w:tcPr>
          <w:p>
            <w:pPr>
              <w:pStyle w:val="1020"/>
              <w:spacing w:line="36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Щёткодержатель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1" w:type="dxa"/>
            <w:vAlign w:val="center"/>
            <w:textDirection w:val="lrTb"/>
            <w:noWrap w:val="false"/>
          </w:tcPr>
          <w:p>
            <w:pPr>
              <w:pStyle w:val="1020"/>
              <w:spacing w:line="36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83" w:type="dxa"/>
            <w:vAlign w:val="center"/>
            <w:textDirection w:val="lrTb"/>
            <w:noWrap w:val="false"/>
          </w:tcPr>
          <w:p>
            <w:pPr>
              <w:pStyle w:val="1020"/>
              <w:spacing w:line="36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Контактные кольца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1" w:type="dxa"/>
            <w:vAlign w:val="center"/>
            <w:textDirection w:val="lrTb"/>
            <w:noWrap w:val="false"/>
          </w:tcPr>
          <w:p>
            <w:pPr>
              <w:pStyle w:val="1020"/>
              <w:spacing w:line="36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83" w:type="dxa"/>
            <w:vAlign w:val="center"/>
            <w:textDirection w:val="lrTb"/>
            <w:noWrap w:val="false"/>
          </w:tcPr>
          <w:p>
            <w:pPr>
              <w:pStyle w:val="1020"/>
              <w:spacing w:line="36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Технические требования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4"/>
        <w:numPr>
          <w:ilvl w:val="1"/>
          <w:numId w:val="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4" w:name="_Toc46743506"/>
      <w:r>
        <w:rPr>
          <w:rFonts w:ascii="Times New Roman" w:hAnsi="Times New Roman" w:eastAsia="Times New Roman" w:cs="Times New Roman"/>
        </w:rPr>
      </w:r>
      <w:bookmarkStart w:id="5" w:name="_Toc75446568"/>
      <w:r>
        <w:rPr>
          <w:rFonts w:ascii="Times New Roman" w:hAnsi="Times New Roman" w:eastAsia="Times New Roman" w:cs="Times New Roman"/>
        </w:rPr>
        <w:t xml:space="preserve">Наименование закупаемой продукции</w:t>
      </w:r>
      <w:bookmarkEnd w:id="4"/>
      <w:r>
        <w:rPr>
          <w:rFonts w:ascii="Times New Roman" w:hAnsi="Times New Roman" w:eastAsia="Times New Roman" w:cs="Times New Roman"/>
        </w:rPr>
      </w:r>
      <w:bookmarkEnd w:id="5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jc w:val="both"/>
        <w:spacing w:before="120" w:after="120" w:line="36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Щёточно-контактный аппар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</w:rPr>
        <w:t xml:space="preserve">ат</w:t>
      </w:r>
      <w:r>
        <w:rPr>
          <w:rStyle w:val="1062"/>
          <w:rFonts w:ascii="Times New Roman" w:hAnsi="Times New Roman" w:eastAsia="Times New Roman" w:cs="Times New Roman"/>
          <w:b w:val="0"/>
          <w:bCs/>
          <w:i w:val="0"/>
          <w:sz w:val="24"/>
          <w:szCs w:val="24"/>
          <w:shd w:val="clear" w:color="auto" w:fill="ffffff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jc w:val="both"/>
        <w:spacing w:line="36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6" w:name="_Toc46743510"/>
      <w:r>
        <w:rPr>
          <w:rFonts w:ascii="Times New Roman" w:hAnsi="Times New Roman" w:eastAsia="Times New Roman" w:cs="Times New Roman"/>
        </w:rPr>
      </w:r>
      <w:bookmarkStart w:id="7" w:name="_Toc50125126"/>
      <w:r>
        <w:rPr>
          <w:rFonts w:ascii="Times New Roman" w:hAnsi="Times New Roman" w:eastAsia="Times New Roman" w:cs="Times New Roman"/>
        </w:rPr>
      </w:r>
      <w:bookmarkEnd w:id="6"/>
      <w:r>
        <w:rPr>
          <w:rFonts w:ascii="Times New Roman" w:hAnsi="Times New Roman" w:eastAsia="Times New Roman" w:cs="Times New Roman"/>
        </w:rPr>
      </w:r>
      <w:bookmarkEnd w:id="7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1.2.1. Цель использования закупаемой продукции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jc w:val="both"/>
        <w:spacing w:before="0" w:after="360" w:line="360" w:lineRule="auto"/>
        <w:widowControl w:val="off"/>
        <w:rPr>
          <w:rFonts w:ascii="Times New Roman" w:hAnsi="Times New Roman" w:cs="Times New Roman"/>
        </w:rPr>
      </w:pPr>
      <w:r>
        <w:rPr>
          <w:rStyle w:val="1062"/>
          <w:rFonts w:ascii="Times New Roman" w:hAnsi="Times New Roman" w:eastAsia="Times New Roman" w:cs="Times New Roman"/>
          <w:b w:val="0"/>
          <w:bCs/>
          <w:i w:val="0"/>
          <w:iCs/>
          <w:sz w:val="24"/>
          <w:szCs w:val="24"/>
          <w:shd w:val="clear" w:color="auto" w:fill="ffffff"/>
        </w:rPr>
        <w:t xml:space="preserve">Поставка щёточно-контактного аппарата предназначена для технического перевооружения щёточно-контактной аппаратуры турбогенераторов ст. № 1–3 Благовещенской ТЭЦ в рамках реализации инвестиционного проекта № 505-АГ-89. Закупаемая продукция</w:t>
      </w:r>
      <w:r>
        <w:rPr>
          <w:rStyle w:val="1062"/>
          <w:rFonts w:ascii="Times New Roman" w:hAnsi="Times New Roman" w:eastAsia="Times New Roman" w:cs="Times New Roman"/>
          <w:b w:val="0"/>
          <w:bCs/>
          <w:i w:val="0"/>
          <w:iCs/>
          <w:sz w:val="24"/>
          <w:szCs w:val="24"/>
          <w:shd w:val="clear" w:color="auto" w:fill="ffffff"/>
        </w:rPr>
        <w:t xml:space="preserve"> необходима для обеспечения надёжной и безопасной работы турбогенераторов, восстановления и поддержания требуемых эксплуатационных характеристик щёточно-контактного узла, а также повышения надёжности и эффективности эксплуатации генерирующего оборудования.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1"/>
        <w:numPr>
          <w:ilvl w:val="0"/>
          <w:numId w:val="3"/>
        </w:numPr>
        <w:ind w:left="357" w:hanging="357"/>
        <w:jc w:val="center"/>
        <w:keepLines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8" w:name="_Toc51339693"/>
      <w:r>
        <w:rPr>
          <w:rFonts w:ascii="Times New Roman" w:hAnsi="Times New Roman" w:eastAsia="Times New Roman" w:cs="Times New Roman"/>
        </w:rPr>
      </w:r>
      <w:bookmarkStart w:id="9" w:name="_Toc75446573"/>
      <w:r>
        <w:rPr>
          <w:rFonts w:ascii="Times New Roman" w:hAnsi="Times New Roman" w:eastAsia="Times New Roman" w:cs="Times New Roman"/>
          <w:iCs/>
        </w:rPr>
        <w:t xml:space="preserve">Требования к продукции</w:t>
      </w:r>
      <w:bookmarkEnd w:id="8"/>
      <w:r>
        <w:rPr>
          <w:rFonts w:ascii="Times New Roman" w:hAnsi="Times New Roman" w:eastAsia="Times New Roman" w:cs="Times New Roman"/>
        </w:rPr>
      </w:r>
      <w:bookmarkEnd w:id="9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4"/>
        <w:numPr>
          <w:ilvl w:val="1"/>
          <w:numId w:val="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10" w:name="_Toc75446574"/>
      <w:r>
        <w:rPr>
          <w:rFonts w:ascii="Times New Roman" w:hAnsi="Times New Roman" w:eastAsia="Times New Roman" w:cs="Times New Roman"/>
        </w:rPr>
        <w:t xml:space="preserve">Требования к объемам и срокам поставки</w:t>
      </w:r>
      <w:bookmarkEnd w:id="10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3"/>
        <w:numPr>
          <w:ilvl w:val="2"/>
          <w:numId w:val="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11" w:name="_Toc75446575"/>
      <w:r>
        <w:rPr>
          <w:rFonts w:ascii="Times New Roman" w:hAnsi="Times New Roman" w:eastAsia="Times New Roman" w:cs="Times New Roman"/>
        </w:rPr>
        <w:t xml:space="preserve">Перечень и объем закупаемой продукции</w:t>
      </w:r>
      <w:bookmarkEnd w:id="11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1"/>
        <w:numPr>
          <w:ilvl w:val="0"/>
          <w:numId w:val="0"/>
        </w:numPr>
        <w:ind w:left="0" w:firstLine="0"/>
        <w:keepLines/>
        <w:spacing w:before="240"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12" w:name="_Toc75446576"/>
      <w:r>
        <w:rPr>
          <w:rFonts w:ascii="Times New Roman" w:hAnsi="Times New Roman" w:eastAsia="Times New Roman" w:cs="Times New Roman"/>
        </w:rPr>
      </w:r>
      <w:bookmarkStart w:id="13" w:name="_Toc51339695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1.1 Перечень </w:t>
      </w:r>
      <w:bookmarkEnd w:id="13"/>
      <w:r>
        <w:rPr>
          <w:rFonts w:ascii="Times New Roman" w:hAnsi="Times New Roman" w:eastAsia="Times New Roman" w:cs="Times New Roman"/>
          <w:sz w:val="24"/>
          <w:szCs w:val="24"/>
        </w:rPr>
        <w:t xml:space="preserve">и объем закупаемой продукции</w:t>
      </w:r>
      <w:bookmarkEnd w:id="12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812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35"/>
        <w:gridCol w:w="6141"/>
        <w:gridCol w:w="1426"/>
        <w:gridCol w:w="140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5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1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продукции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6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9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6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9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5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"/>
              </w:numPr>
              <w:contextualSpacing w:val="0"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1" w:type="dxa"/>
            <w:textDirection w:val="lrTb"/>
            <w:noWrap w:val="false"/>
          </w:tcPr>
          <w:p>
            <w:pPr>
              <w:pStyle w:val="1020"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Style w:val="1062"/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Щёточно-контактный аппарат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6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9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ind w:firstLine="142"/>
        <w:spacing w:before="120" w:after="120" w:line="36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bCs/>
          <w:i/>
          <w:sz w:val="24"/>
          <w:szCs w:val="24"/>
          <w:shd w:val="clear" w:color="auto" w:fill="ffff99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shd w:val="clear" w:color="auto" w:fill="ffff99"/>
        </w:rPr>
      </w:r>
      <w:r>
        <w:rPr>
          <w:rFonts w:ascii="Times New Roman" w:hAnsi="Times New Roman" w:cs="Times New Roman"/>
          <w:bCs/>
          <w:i/>
          <w:sz w:val="24"/>
          <w:szCs w:val="24"/>
          <w:shd w:val="clear" w:color="auto" w:fill="ffff99"/>
        </w:rPr>
      </w:r>
      <w:r>
        <w:rPr>
          <w:rFonts w:ascii="Times New Roman" w:hAnsi="Times New Roman" w:cs="Times New Roman"/>
          <w:bCs/>
          <w:i/>
          <w:sz w:val="24"/>
          <w:szCs w:val="24"/>
          <w:shd w:val="clear" w:color="auto" w:fill="ffff99"/>
        </w:rPr>
      </w:r>
    </w:p>
    <w:p>
      <w:pPr>
        <w:pStyle w:val="1021"/>
        <w:numPr>
          <w:ilvl w:val="0"/>
          <w:numId w:val="0"/>
        </w:numPr>
        <w:ind w:left="0" w:firstLine="0"/>
        <w:keepLines/>
        <w:spacing w:before="240"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14" w:name="_Toc75446577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1.2 Перечень и объем закупаемых сопутствующих услуг</w:t>
      </w:r>
      <w:bookmarkEnd w:id="14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81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49"/>
        <w:gridCol w:w="4849"/>
        <w:gridCol w:w="1995"/>
        <w:gridCol w:w="211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услуг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5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6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contextualSpacing w:val="0"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pStyle w:val="1020"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Услуги шеф-монтажа и шеф-наладки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Условная единица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ind w:firstLine="142"/>
        <w:spacing w:before="120" w:after="120" w:line="36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bCs/>
          <w:i/>
          <w:sz w:val="24"/>
          <w:szCs w:val="24"/>
          <w:shd w:val="clear" w:color="auto" w:fill="ffff99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shd w:val="clear" w:color="auto" w:fill="ffff99"/>
        </w:rPr>
      </w:r>
      <w:r>
        <w:rPr>
          <w:rFonts w:ascii="Times New Roman" w:hAnsi="Times New Roman" w:cs="Times New Roman"/>
          <w:bCs/>
          <w:i/>
          <w:sz w:val="24"/>
          <w:szCs w:val="24"/>
          <w:shd w:val="clear" w:color="auto" w:fill="ffff99"/>
        </w:rPr>
      </w:r>
      <w:r>
        <w:rPr>
          <w:rFonts w:ascii="Times New Roman" w:hAnsi="Times New Roman" w:cs="Times New Roman"/>
          <w:bCs/>
          <w:i/>
          <w:sz w:val="24"/>
          <w:szCs w:val="24"/>
          <w:shd w:val="clear" w:color="auto" w:fill="ffff99"/>
        </w:rPr>
      </w:r>
    </w:p>
    <w:p>
      <w:pPr>
        <w:pStyle w:val="1023"/>
        <w:numPr>
          <w:ilvl w:val="2"/>
          <w:numId w:val="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15" w:name="_Toc75446578"/>
      <w:r>
        <w:rPr>
          <w:rFonts w:ascii="Times New Roman" w:hAnsi="Times New Roman" w:eastAsia="Times New Roman" w:cs="Times New Roman"/>
        </w:rPr>
      </w:r>
      <w:bookmarkStart w:id="16" w:name="_Toc51339696"/>
      <w:r>
        <w:rPr>
          <w:rFonts w:ascii="Times New Roman" w:hAnsi="Times New Roman" w:eastAsia="Times New Roman" w:cs="Times New Roman"/>
        </w:rPr>
        <w:t xml:space="preserve">Требования </w:t>
      </w:r>
      <w:bookmarkEnd w:id="16"/>
      <w:r>
        <w:rPr>
          <w:rFonts w:ascii="Times New Roman" w:hAnsi="Times New Roman" w:eastAsia="Times New Roman" w:cs="Times New Roman"/>
        </w:rPr>
        <w:t xml:space="preserve">к срокам поставки продукции и оказания сопутствующих услуг</w:t>
      </w:r>
      <w:bookmarkEnd w:id="15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1"/>
        <w:numPr>
          <w:ilvl w:val="0"/>
          <w:numId w:val="0"/>
        </w:numPr>
        <w:ind w:left="0" w:firstLine="0"/>
        <w:keepLines/>
        <w:spacing w:before="240"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17" w:name="_Toc75446579"/>
      <w:r>
        <w:rPr>
          <w:rFonts w:ascii="Times New Roman" w:hAnsi="Times New Roman" w:eastAsia="Times New Roman" w:cs="Times New Roman"/>
        </w:rPr>
      </w:r>
      <w:bookmarkStart w:id="18" w:name="_Toc51339697"/>
      <w:r>
        <w:rPr>
          <w:rFonts w:ascii="Times New Roman" w:hAnsi="Times New Roman" w:eastAsia="Times New Roman" w:cs="Times New Roman"/>
        </w:rPr>
      </w:r>
      <w:bookmarkStart w:id="19" w:name="_Toc50125127"/>
      <w:r>
        <w:rPr>
          <w:rFonts w:ascii="Times New Roman" w:hAnsi="Times New Roman" w:eastAsia="Times New Roman" w:cs="Times New Roman"/>
        </w:rPr>
      </w:r>
      <w:bookmarkStart w:id="20" w:name="_Toc50125126_Копия_1"/>
      <w:r>
        <w:rPr>
          <w:rFonts w:ascii="Times New Roman" w:hAnsi="Times New Roman" w:eastAsia="Times New Roman" w:cs="Times New Roman"/>
        </w:rPr>
      </w:r>
      <w:bookmarkEnd w:id="20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2.1 </w:t>
      </w:r>
      <w:bookmarkStart w:id="21" w:name="_Hlk50465284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по срокам </w:t>
      </w:r>
      <w:bookmarkEnd w:id="18"/>
      <w:r>
        <w:rPr>
          <w:rFonts w:ascii="Times New Roman" w:hAnsi="Times New Roman" w:eastAsia="Times New Roman" w:cs="Times New Roman"/>
        </w:rPr>
      </w:r>
      <w:bookmarkEnd w:id="19"/>
      <w:r>
        <w:rPr>
          <w:rFonts w:ascii="Times New Roman" w:hAnsi="Times New Roman" w:eastAsia="Times New Roman" w:cs="Times New Roman"/>
        </w:rPr>
      </w:r>
      <w:bookmarkEnd w:id="21"/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поставки продукции</w:t>
      </w:r>
      <w:bookmarkEnd w:id="17"/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77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0"/>
        <w:gridCol w:w="2550"/>
        <w:gridCol w:w="2979"/>
        <w:gridCol w:w="311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9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6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9" w:type="dxa"/>
            <w:textDirection w:val="lrTb"/>
            <w:noWrap w:val="false"/>
          </w:tcPr>
          <w:p>
            <w:pPr>
              <w:pStyle w:val="1140"/>
              <w:ind w:left="0" w:right="0" w:firstLine="0"/>
              <w:jc w:val="center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6" w:type="dxa"/>
            <w:textDirection w:val="lrTb"/>
            <w:noWrap w:val="false"/>
          </w:tcPr>
          <w:p>
            <w:pPr>
              <w:pStyle w:val="1140"/>
              <w:ind w:left="0" w:right="0" w:firstLine="0"/>
              <w:jc w:val="center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8"/>
              </w:numPr>
              <w:contextualSpacing w:val="0"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textDirection w:val="lrTb"/>
            <w:noWrap w:val="false"/>
          </w:tcPr>
          <w:p>
            <w:pPr>
              <w:pStyle w:val="1020"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Style w:val="1062"/>
                <w:rFonts w:ascii="Times New Roman" w:hAnsi="Times New Roman" w:eastAsia="Times New Roman" w:cs="Times New Roman"/>
                <w:b w:val="0"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Щёточно-контактный аппарат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9" w:type="dxa"/>
            <w:textDirection w:val="lrTb"/>
            <w:noWrap w:val="false"/>
          </w:tcPr>
          <w:p>
            <w:pPr>
              <w:pStyle w:val="1020"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</w:rPr>
              <w:t xml:space="preserve">С 01.01.2027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6" w:type="dxa"/>
            <w:textDirection w:val="lrTb"/>
            <w:noWrap w:val="false"/>
          </w:tcPr>
          <w:p>
            <w:pPr>
              <w:pStyle w:val="1020"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</w:rPr>
              <w:t xml:space="preserve">В течение 378 календарных дней, начиная с 01.01.2027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bookmarkStart w:id="23" w:name="_Toc46743510_Копия_1"/>
      <w:r>
        <w:rPr>
          <w:rFonts w:ascii="Times New Roman" w:hAnsi="Times New Roman" w:eastAsia="Times New Roman" w:cs="Times New Roman"/>
        </w:rPr>
      </w:r>
      <w:bookmarkEnd w:id="23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1"/>
        <w:numPr>
          <w:ilvl w:val="0"/>
          <w:numId w:val="0"/>
        </w:numPr>
        <w:ind w:left="0" w:firstLine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24" w:name="_Toc75446580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2.2 Требования по срокам оказания сопутствующих услуг</w:t>
      </w:r>
      <w:bookmarkEnd w:id="24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1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9"/>
        <w:gridCol w:w="2147"/>
        <w:gridCol w:w="2268"/>
        <w:gridCol w:w="2551"/>
        <w:gridCol w:w="18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услуг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140"/>
              <w:ind w:left="0" w:right="0" w:firstLine="0"/>
              <w:jc w:val="center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1140"/>
              <w:ind w:left="0" w:right="0" w:firstLine="0"/>
              <w:jc w:val="center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140"/>
              <w:ind w:left="0" w:right="0" w:firstLine="0"/>
              <w:jc w:val="center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Примечание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140"/>
              <w:ind w:left="0" w:right="0" w:firstLine="0"/>
              <w:jc w:val="center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1140"/>
              <w:ind w:left="0" w:right="0" w:firstLine="0"/>
              <w:jc w:val="center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140"/>
              <w:ind w:left="0" w:right="0" w:firstLine="0"/>
              <w:jc w:val="center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7" w:type="dxa"/>
            <w:textDirection w:val="lrTb"/>
            <w:noWrap w:val="false"/>
          </w:tcPr>
          <w:p>
            <w:pPr>
              <w:pStyle w:val="1020"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Услуги шеф-монтажа и шеф-наладки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даты поставки ЩКА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1020"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течение 30 календарных дней, с даты поставки ЩКА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rFonts w:ascii="Times New Roman" w:hAnsi="Times New Roman" w:cs="Times New Roman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4"/>
        <w:numPr>
          <w:ilvl w:val="1"/>
          <w:numId w:val="3"/>
        </w:numPr>
        <w:ind w:left="0" w:right="0" w:firstLine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25" w:name="_Toc51339698"/>
      <w:r>
        <w:rPr>
          <w:rFonts w:ascii="Times New Roman" w:hAnsi="Times New Roman" w:eastAsia="Times New Roman" w:cs="Times New Roman"/>
        </w:rPr>
      </w:r>
      <w:bookmarkStart w:id="26" w:name="_Toc75446581"/>
      <w:r>
        <w:rPr>
          <w:rFonts w:ascii="Times New Roman" w:hAnsi="Times New Roman" w:eastAsia="Times New Roman" w:cs="Times New Roman"/>
        </w:rPr>
      </w:r>
      <w:bookmarkStart w:id="27" w:name="_Toc46743511"/>
      <w:r>
        <w:rPr>
          <w:rFonts w:ascii="Times New Roman" w:hAnsi="Times New Roman" w:eastAsia="Times New Roman" w:cs="Times New Roman"/>
        </w:rPr>
        <w:t xml:space="preserve">Требования к </w:t>
      </w:r>
      <w:bookmarkEnd w:id="27"/>
      <w:r>
        <w:rPr>
          <w:rFonts w:ascii="Times New Roman" w:hAnsi="Times New Roman" w:eastAsia="Times New Roman" w:cs="Times New Roman"/>
        </w:rPr>
        <w:t xml:space="preserve">качеству продукции</w:t>
      </w:r>
      <w:bookmarkEnd w:id="26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1"/>
        <w:numPr>
          <w:ilvl w:val="0"/>
          <w:numId w:val="0"/>
        </w:numPr>
        <w:ind w:left="0" w:right="0" w:firstLine="0"/>
        <w:keepLines/>
        <w:spacing w:before="240"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28" w:name="_Toc75446582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 3. Требования к качеству продукции</w:t>
      </w:r>
      <w:bookmarkEnd w:id="28"/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End w:id="25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ind w:left="0" w:right="0" w:firstLine="0"/>
        <w:jc w:val="both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Наименование продукции (позиция №1</w:t>
      </w:r>
      <w:r>
        <w:rPr>
          <w:rStyle w:val="1062"/>
          <w:rFonts w:ascii="Times New Roman" w:hAnsi="Times New Roman" w:eastAsia="Times New Roman" w:cs="Times New Roman"/>
          <w:b w:val="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Таблицы 1.1)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  <w:t xml:space="preserve">:</w:t>
      </w:r>
      <w:r>
        <w:rPr>
          <w:rStyle w:val="1062"/>
          <w:rFonts w:ascii="Times New Roman" w:hAnsi="Times New Roman" w:eastAsia="Times New Roman" w:cs="Times New Roman"/>
          <w:b w:val="0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ind w:left="0" w:right="0" w:firstLine="0"/>
        <w:jc w:val="center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tbl>
      <w:tblPr>
        <w:tblStyle w:val="1167"/>
        <w:tblpPr w:horzAnchor="text" w:tblpXSpec="left" w:vertAnchor="text" w:tblpY="1" w:leftFromText="180" w:topFromText="0" w:rightFromText="180" w:bottomFromText="0"/>
        <w:tblW w:w="15107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468"/>
        <w:gridCol w:w="2911"/>
        <w:gridCol w:w="121"/>
        <w:gridCol w:w="36"/>
        <w:gridCol w:w="2757"/>
        <w:gridCol w:w="2307"/>
        <w:gridCol w:w="2665"/>
        <w:gridCol w:w="2841"/>
      </w:tblGrid>
      <w:tr>
        <w:tblPrEx/>
        <w:trPr/>
        <w:tc>
          <w:tcPr>
            <w:tcW w:w="1468" w:type="dxa"/>
            <w:vAlign w:val="center"/>
            <w:vMerge w:val="restart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3068" w:type="dxa"/>
            <w:vAlign w:val="center"/>
            <w:vMerge w:val="restart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757" w:type="dxa"/>
            <w:vAlign w:val="center"/>
            <w:vMerge w:val="restart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4972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vAlign w:val="center"/>
            <w:vMerge w:val="restart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468" w:type="dxa"/>
            <w:vAlign w:val="center"/>
            <w:vMerge w:val="continue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3068" w:type="dxa"/>
            <w:vAlign w:val="center"/>
            <w:vMerge w:val="continue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757" w:type="dxa"/>
            <w:vAlign w:val="center"/>
            <w:vMerge w:val="continue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Предоставление подтверждающего документа на этапе закупки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vAlign w:val="center"/>
            <w:vMerge w:val="continue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30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75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0"/>
                <w:numId w:val="6"/>
              </w:numPr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W w:w="5825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техническим и функциональным характеристикам ЩКА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1"/>
                <w:numId w:val="6"/>
              </w:numPr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Тип оборудования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ЩКА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типа оборудования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1"/>
                <w:numId w:val="6"/>
              </w:numPr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Рабочий диаметр контактных колец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463(460) мм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Габаритный/установочный чертеж п.п.2.3.1 ТТ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1"/>
                <w:numId w:val="6"/>
              </w:numPr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Номинальная частота вращения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3000 об/мин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1"/>
                <w:numId w:val="6"/>
              </w:numPr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Номинальное рабочее напряжение (полюса)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3000 Вольт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1"/>
                <w:numId w:val="6"/>
              </w:numPr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Номинальный ток (полюса)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1750 Ампер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1.6.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Максимально допустимый длительный ток полюса (до 60 минут)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2150 Ампер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1.7.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Максимально допустимый ток полюса (не более 20 сек)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3500 Ампер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1.8.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Количество съёмных ЩД (на полюсе)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14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1.9.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Тип съёмного щёткодержателя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латунный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1.10.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Количество съёмных электрощёток в ЩД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1.11.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Сечение электрощётки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32*20 t*a (мм)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907"/>
        </w:trPr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1.12.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Усилие нажатие на электрощетку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140 гр/см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1.13.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Рекомендуемая высота электрощётки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64-80 мм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Габаритный/установочный чертеж п.п 2.3.1 ТТ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1.14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Максимальная высота электрощётки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80 мм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Габаритный/установочный чертеж п.п 2.3.1 ТТ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1.15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Материал электрощётки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графит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1.16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Номинальная плотность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9,76 А/см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1.17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Максимальная длительная плотность тока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12,00 А/см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Максимальная кратковременная плотность тока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19,53 А/см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1.19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Количество ЩД контроля заземления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1.20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Тип ЩД контроля заземления вала (2)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32*20 мм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абаритный/установочный чертеж п.п 2.3.1 ТТ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1.21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Высота электрощётки контроля заземления вала (не более)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80 мм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абаритный/установочный чертеж п.п 2.3.1 ТТ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1.22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Материал электрощётки контроля заземления вала (базовый комплект)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Style w:val="1079"/>
                <w:rFonts w:ascii="Times New Roman" w:hAnsi="Times New Roman" w:eastAsia="Times New Roman" w:cs="Times New Roman"/>
                <w:b w:val="0"/>
                <w:i w:val="0"/>
                <w:caps w:val="0"/>
                <w:smallCaps w:val="0"/>
                <w:color w:val="333333"/>
                <w:spacing w:val="0"/>
                <w:sz w:val="22"/>
                <w:szCs w:val="24"/>
                <w:lang w:val="ru-RU" w:eastAsia="ru-RU" w:bidi="ar-SA"/>
              </w:rPr>
              <w:t xml:space="preserve">графит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1.23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Сопротивление изоляции между траверсой и корпусом ЩКА (не менее)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0,5 МОм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1.24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Потребляемая мощность системы контроля и вентиляции не более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3,0 кВт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1.25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Габариты ЩКА (нижняя часть), ДхШхВ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1289х730х1180 мм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абаритный/установочный чертеж п.п 2.3.1 ТТ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1.26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Габариты блока подготовки воздуха (верх.часть)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938х730х1603 мм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абаритный/установочный чертеж п.п 2.3.1 ТТ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1.27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Габариты блока сдвижных дверей (верх.часть)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153х730х1603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абаритный/установочный чертеж п.п 2.3.1 ТТ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1.28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Вес ЩКА (без электрощёток и ругл.пластин)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745 кг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1.29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Диапазон рабочей температуры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От +5 до +45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1.30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Температура хранения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От -10 до +55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</w:rPr>
              <w:t xml:space="preserve">1.31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Конструкция должна обеспечивать возможность снятие/установки ЩКА без его полной разборки.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  <w:t xml:space="preserve">Корпус ЩКА должен быть закрытого типа и оснащен автоматическими дверями.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ЩКА должен иметь блок подготовки охлаждающего воздуха с системой вентиляции, обеспечивать фильтрацию входящего воздуха от посторонних примесей (твердых механических частиц, турбинного мас</w:t>
            </w: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ла, паров масла), создавать избыточное давление внутри корпуса для предотвращения попадания паров масла в ЩКА. Воздушный поток должен быть рассчитан и отрегулирован таким образом, чтобы равномерно охлаждать каждый полюс, при этом контроль потока воздуха до</w:t>
            </w: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лжен автоматически регулироваться по заданным параметрам вентилятора с ЧРП и при необходимости заслонки блока прямоточного канала подачи воздуха (байпас).В корпусе ЩКА должны быть предусмотрены уплотнения со стороны генератора и возбудителя по валу ротора.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Состояние ЩКА должно контролироваться по параметру Δt (разница между холодным и горячим воздухом) с выводом на 3х цветную индикаторную лампу, расположенную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Дополнительный контроль состояния ЩКА должен быть организован по контролю воздуха вблизи контактных колец.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ЩКА должен иметь возможность установки датчиков типа PTxxx на входе и выходе системы вентиляции для реализации возможности подключения к штатной системе АСУ ТП.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ЩКА должен иметь щеткодержатели, оборудованные датчиками тока, для возможности измерения и контроля тока через каждую щетку.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Система управления должна обеспечивать автоматическ</w:t>
            </w: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ое открытие сдвижных панелей ЩКА в случае возникновения внештатных ситуаций. Так же в случае засорения воздушных фильтров, должно происходить автоматическое открывание прямоточного канала (открытие заслонки) для подачи воздуха (байпас) минуя блок фильтров.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ЩКА должен быть оснащен вставными щеткодержателями с применением размыкаемого токового контакта типа «Multi-Contact» смноголепестковой структурой мультиконтактной буксы обеспечивающей создание большого количества точек соприкосновений.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На ШД применить конструктив размыкаемого токового мультиконтакта со штоком не менее 20 мм который рассчитан обеспечивать коммутацию до 400 А.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Конструкция обоймы щеткодержателя должна соответствовать следующим требованиям: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корпус ЩД выполнен методом литья в кокиль (сплав меди);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окно выполнено методом протяжки  и соответствовать калибру;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применение нажимных механизмов с пружинами постоянного нажатия;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наличие стопорного механизма, предотвращающего выпадение электрощёток во время установки и снятия ЩД;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возможность применение электрощёток с высотой до 80мм;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точное изготовление всех компонентов должно обеспечивать применение ЩД без предварительной подгонки и дальнейшей привязки к местоположению (гнезду) на траверсе и должны иметь возможность взаимозамены (ЩКА);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снятие и установка ЩД должна быть выполнена поворотной изолированной ручкой с общим ходом 90 гра</w:t>
            </w: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дусов, при повороте которой происходит фиксация ЩД в рабочем положении и рас фиксация электрощетки, и обратное действие при повороте на 90 градусов в обратную сторону, что в свою очередь позволяет персоналу безопасно обслуживать ЩКА с заменой электрощеток.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конструкци</w:t>
            </w: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я съемного щеткодержателя должна иметь механизм фиксации электрощеток при выполнении операции установки и снятии, при этом съемные ЩД должны строго фиксироваться в рабочем положении и не допускать люфт (перемещение в любом направлении) в рабочем положении.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1.40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 конструкции модернизированного щеточно-контактного аппарата должна быть заложена возможность регулирования зазора между краем обоймы щеткодержателя и поверхностью контактных колец в пределах допустимого рабочего диаметра КК от 435 мм до 460 мм.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1.41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Обоймы щетко</w:t>
            </w: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держателей должны быть оборудованы нажимными механизмами с пружинами постоянного нажатия, которые обеспечивает оптимальное и постоянное усилие нажатие 140 г/см2 на весь период работы по всей рабочей высоте электрощётки с возможностью оперативной её замены.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1.42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Блок подгото</w:t>
            </w: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вки охлаждающего воздуха должен комплектоваться стандартными серийно выпускаемыми фильтрами для их быстрой замены, количество фильтров (не менее 8 шт) должно обеспечивать длительную работу ЩКА в условиях возможного загрязнения воздуха ( не менее 6 месяцев)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1.43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1078"/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Предусмотреть установку штатных датчиков скорости и двух релейных щеток контроля замыкания на землю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none" w:color="000000" w:sz="4" w:space="0"/>
            </w:tcBorders>
            <w:tcW w:w="582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Комплект поставки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91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ЩКА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</w:tcBorders>
            <w:tcW w:w="2914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2.1.1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91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Комплект пружин постоянного нажатия (на один полюс)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</w:tcBorders>
            <w:tcW w:w="2914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28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2.1.2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91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Комплект фильтров 1к-т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</w:tcBorders>
            <w:tcW w:w="2914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8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2.1.3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91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Комплект электрощеток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</w:tcBorders>
            <w:tcW w:w="2914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56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2.1.4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91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Камни для подшлифовки контактных колец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</w:tcBorders>
            <w:tcW w:w="2914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none" w:color="000000" w:sz="4" w:space="0"/>
            </w:tcBorders>
            <w:tcW w:w="5825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качеству поставляемой продукции: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 w:bidi="ar-SA"/>
              </w:rPr>
              <w:t xml:space="preserve">3.1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Продукция должна быть новая*, ранее не используемая.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* - Под новым следует понимать оборудование, которое не было в употреблении, не приходило ремонт, в том числе восстановление, замену составных частей, восстановление потребительских свойств.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 w:bidi="ar-SA"/>
              </w:rPr>
              <w:t xml:space="preserve">3.2.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Год выпуска продукции (оборудования)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 ранее </w:t>
            </w:r>
            <w:r>
              <w:rPr>
                <w:rStyle w:val="1062"/>
                <w:rFonts w:ascii="Times New Roman" w:hAnsi="Times New Roman" w:eastAsia="Times New Roman" w:cs="Times New Roman"/>
                <w:b w:val="0"/>
                <w:iCs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 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582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гарантиям, гарантийному и послегарантийному обслуживанию: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Гарантийный срок эксплуатации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Гарантийный срок эксплуатации — не менее 24 месяцев со дня ввода продукции в эксплуатацию.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Возможность заключения договора на постгарантийное обслуживание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4.3.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Наличие сервисных центров на территории РФ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4.4.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Гарантии распространяются на все поставляемое оборудование.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 течение гарантийного срока должна быть обеспечена безвозмездна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я замена или ремонт вышедшего из строя оборудования, включая его доставку туда и обратно. Доставка неисправного оборудования в сервисный центр для проведения ремонта и возвращение исправного, после ремонта, оборудования Поставщик осуществляет за свой счет.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5825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комплектации и документам, поставляемым вместе с продукцией: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Комплект технической документации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 комп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Паспорт ЩКА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Инструкция по монтажу ЩКА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5.1.3.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Инструкция по эксплуатации ЩКА, включая системы контроля и управления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5.1.4.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Сборочный чертёж со спецификацией, включая все габаритно присоединительные размеры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5.1.5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Схема электрическая и прочие схемы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5.1.6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3032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Протоколы заводских испытаний/приемо-сдаточных испытаний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Ведомость комплекта поставки, экз.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6.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5825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соблюдению положений нормативной и иной обязательной для поставщика документации: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6.1.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032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 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асти требований, не оговоренных настоящими ТТ, поставляемая продукция должна соответствовать требованиям действующих нормативных и технических документов, применимых к данному виду оборудования, в том числе требованиям документов, указанных в настоящих ТТ.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793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7.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5825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экономическим параметрам: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7.1.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3068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Срок службы, не менее, лет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75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15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8.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5825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сопутствующим услугам: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49"/>
        </w:trPr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8.1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5825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 w:bidi="ar-SA"/>
              </w:rPr>
              <w:t xml:space="preserve">Требования к шефмонтажу: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8.1.1.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30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Участие технического представителя изготовителя в монтаже и наладке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75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8.1.2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</w:tcBorders>
            <w:tcW w:w="30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Гарантия на шеф-монтажные и шеф-наладочные работы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75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Гарантия на шеф-монтажные и шеф-наладочные работы — не менее 24 месяцев с даты подписания акта выполненных работ.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</w:tcBorders>
            <w:tcW w:w="30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Разработка и согласование с Заказчиком технической документации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75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9.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5825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обязательствам Поставщика, влияющим на исполнение договора: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9.1.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30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Участие представителей заказчика в приемо-сдаточных испытаний ЩКАна заводе-изготовителе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75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Нет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68" w:type="dxa"/>
            <w:vAlign w:val="center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9.2.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3068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Участие представителя завода изготовителя (поставщика) в проверке качества и комплектности поставляемой ЩКА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75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5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41" w:type="dxa"/>
            <w:textDirection w:val="lrTb"/>
            <w:noWrap w:val="false"/>
          </w:tcPr>
          <w:p>
            <w:pPr>
              <w:pStyle w:val="102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020"/>
        <w:jc w:val="center"/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1020"/>
        <w:ind w:left="426" w:firstLine="0"/>
        <w:jc w:val="both"/>
        <w:spacing w:before="0"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2.3. В составе заявки необходимо предоставить: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jc w:val="both"/>
        <w:spacing w:before="0"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 составе своей заявки для подтверждения соответствия заявленных характеристик и конструктива предложенной к поставке продукции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требованиям настоящих ТТ, предоставляет следующие документы: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jc w:val="both"/>
        <w:spacing w:before="0" w:after="60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2.3.1. Габаритные и установочные чертежи предлагаемого к поставке Щ</w:t>
      </w:r>
      <w:bookmarkStart w:id="29" w:name="_GoBack"/>
      <w:r>
        <w:rPr>
          <w:rFonts w:ascii="Times New Roman" w:hAnsi="Times New Roman" w:eastAsia="Times New Roman" w:cs="Times New Roman"/>
        </w:rPr>
      </w:r>
      <w:bookmarkEnd w:id="29"/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КА с указанием основных габаритных, установочных и присоединительных размеров;</w:t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pStyle w:val="1020"/>
        <w:jc w:val="both"/>
        <w:spacing w:before="0"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2.3.2. Сб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auto"/>
        </w:rPr>
        <w:t xml:space="preserve">орочный чертеж (при наличии) либо иной документ изготовителя, позволяющий определить конструктивное исполнение, состав и комплектность предлагаемого Щ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auto"/>
        </w:rPr>
        <w:t xml:space="preserve">КА;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jc w:val="both"/>
        <w:spacing w:before="0"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auto"/>
        </w:rPr>
        <w:t xml:space="preserve">2.3.3. Принципиальная электрическая схема.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jc w:val="both"/>
        <w:spacing w:before="0"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1"/>
        <w:numPr>
          <w:ilvl w:val="0"/>
          <w:numId w:val="3"/>
        </w:numPr>
        <w:ind w:left="357" w:hanging="357"/>
        <w:jc w:val="center"/>
        <w:keepLines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Требования к Участнику закупки, признанным победителем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jc w:val="both"/>
        <w:spacing w:line="360" w:lineRule="auto"/>
        <w:shd w:val="clear" w:color="auto" w:fill="ffffff"/>
        <w:widowControl w:val="off"/>
        <w:rPr>
          <w:rStyle w:val="1034"/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3.1. Участник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, признанный победителем закупочной процедуры, в течение 3 рабочих дней с даты официального размещения Организатором итогового протокола по результатам закупки (до заключения договора) должен предоставить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Письмо – подтверждение завода-изготовителя о согласии на изготовление ЩКА с указанием конкретных сроков изготовления и предлагаемых гарантийных сроков (в произвольной форме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</w:rPr>
        <w:t xml:space="preserve">) на почту </w:t>
      </w:r>
      <w:hyperlink r:id="rId23" w:tooltip="http://nikitenko-ro@dgk.ru" w:history="1">
        <w:r>
          <w:rPr>
            <w:rStyle w:val="1034"/>
            <w:rFonts w:ascii="Times New Roman" w:hAnsi="Times New Roman" w:eastAsia="Times New Roman" w:cs="Times New Roman"/>
            <w:sz w:val="24"/>
            <w:szCs w:val="24"/>
            <w:shd w:val="clear" w:color="auto" w:fill="ffffff"/>
          </w:rPr>
          <w:t xml:space="preserve">nikitenko-ro@dgk.ru</w:t>
        </w:r>
        <w:r>
          <w:rPr>
            <w:rStyle w:val="1034"/>
            <w:rFonts w:ascii="Times New Roman" w:hAnsi="Times New Roman" w:cs="Times New Roman"/>
          </w:rPr>
        </w:r>
        <w:r>
          <w:rPr>
            <w:rStyle w:val="1034"/>
            <w:rFonts w:ascii="Times New Roman" w:hAnsi="Times New Roman" w:cs="Times New Roman"/>
            <w:highlight w:val="none"/>
          </w:rPr>
        </w:r>
      </w:hyperlink>
      <w:r>
        <w:rPr>
          <w:rStyle w:val="1034"/>
          <w:rFonts w:ascii="Times New Roman" w:hAnsi="Times New Roman" w:cs="Times New Roman"/>
          <w:highlight w:val="none"/>
        </w:rPr>
      </w:r>
      <w:r>
        <w:rPr>
          <w:rStyle w:val="1034"/>
          <w:rFonts w:ascii="Times New Roman" w:hAnsi="Times New Roman" w:cs="Times New Roman"/>
          <w:highlight w:val="none"/>
        </w:rPr>
      </w:r>
    </w:p>
    <w:p>
      <w:pPr>
        <w:pStyle w:val="1021"/>
        <w:numPr>
          <w:ilvl w:val="0"/>
          <w:numId w:val="3"/>
        </w:numPr>
        <w:ind w:left="357" w:hanging="357"/>
        <w:jc w:val="center"/>
        <w:keepLines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30" w:name="_Toc75446583"/>
      <w:r>
        <w:rPr>
          <w:rFonts w:ascii="Times New Roman" w:hAnsi="Times New Roman" w:eastAsia="Times New Roman" w:cs="Times New Roman"/>
        </w:rPr>
      </w:r>
      <w:bookmarkStart w:id="31" w:name="_Toc53393312"/>
      <w:r>
        <w:rPr>
          <w:rFonts w:ascii="Times New Roman" w:hAnsi="Times New Roman" w:eastAsia="Times New Roman" w:cs="Times New Roman"/>
        </w:rPr>
        <w:t xml:space="preserve">Требования к документации по ценообразованию</w:t>
      </w:r>
      <w:bookmarkEnd w:id="31"/>
      <w:r>
        <w:rPr>
          <w:rFonts w:ascii="Times New Roman" w:hAnsi="Times New Roman" w:eastAsia="Times New Roman" w:cs="Times New Roman"/>
        </w:rPr>
        <w:t xml:space="preserve"> на этапе закупки</w:t>
      </w:r>
      <w:bookmarkEnd w:id="30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spacing w:line="360" w:lineRule="auto"/>
        <w:rPr>
          <w:rFonts w:ascii="Times New Roman" w:hAnsi="Times New Roman" w:cs="Times New Roman"/>
        </w:rPr>
      </w:pPr>
      <w:r>
        <w:rPr>
          <w:rStyle w:val="1062"/>
          <w:rFonts w:ascii="Times New Roman" w:hAnsi="Times New Roman" w:eastAsia="Times New Roman" w:cs="Times New Roman"/>
          <w:b w:val="0"/>
          <w:bCs/>
          <w:i w:val="0"/>
          <w:sz w:val="24"/>
          <w:szCs w:val="24"/>
          <w:shd w:val="clear" w:color="auto" w:fill="ffffff"/>
        </w:rPr>
        <w:t xml:space="preserve">4.1. В обоснование стоимости своей заявки Участник предоставляет </w:t>
      </w:r>
      <w:r>
        <w:rPr>
          <w:rStyle w:val="1062"/>
          <w:rFonts w:ascii="Times New Roman" w:hAnsi="Times New Roman" w:eastAsia="Times New Roman" w:cs="Times New Roman"/>
          <w:b w:val="0"/>
          <w:bCs/>
          <w:i w:val="0"/>
          <w:sz w:val="24"/>
          <w:szCs w:val="24"/>
          <w:shd w:val="clear" w:color="auto" w:fill="ffffff"/>
        </w:rPr>
        <w:t xml:space="preserve">Коммерческое предложение по форме (с учетом прилагаемой к ней инструкции по заполнению), приведенной в Документации о закупке, с приложением информационной справки о стоимости сопутствующих услуг по шефмонтажу и шеф наладочным работам в произвольной форме.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spacing w:line="360" w:lineRule="auto"/>
        <w:rPr>
          <w:rFonts w:ascii="Times New Roman" w:hAnsi="Times New Roman" w:eastAsia="Times New Roman" w:cs="Times New Roman"/>
        </w:rPr>
      </w:pPr>
      <w:r>
        <w:rPr>
          <w:rStyle w:val="1062"/>
          <w:rFonts w:ascii="Times New Roman" w:hAnsi="Times New Roman" w:eastAsia="Times New Roman" w:cs="Times New Roman"/>
          <w:b w:val="0"/>
          <w:bCs/>
          <w:i w:val="0"/>
          <w:sz w:val="24"/>
          <w:szCs w:val="24"/>
          <w:shd w:val="clear" w:color="auto" w:fill="ffffff"/>
        </w:rPr>
        <w:t xml:space="preserve">4.2.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участником.</w:t>
      </w:r>
      <w:r>
        <w:rPr>
          <w:rFonts w:ascii="Times New Roman" w:hAnsi="Times New Roman" w:eastAsia="Times New Roman" w:cs="Times New Roman"/>
        </w:rPr>
        <w:br w:type="page" w:clear="all"/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1021"/>
        <w:numPr>
          <w:ilvl w:val="0"/>
          <w:numId w:val="3"/>
        </w:numPr>
        <w:ind w:left="357" w:hanging="357"/>
        <w:jc w:val="center"/>
        <w:keepLines/>
        <w:spacing w:line="36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</w:r>
      <w:bookmarkStart w:id="32" w:name="_Toc46743519"/>
      <w:r>
        <w:rPr>
          <w:rFonts w:ascii="Times New Roman" w:hAnsi="Times New Roman" w:eastAsia="Times New Roman" w:cs="Times New Roman"/>
          <w:highlight w:val="white"/>
        </w:rPr>
      </w:r>
      <w:bookmarkStart w:id="33" w:name="_Toc75446585"/>
      <w:r>
        <w:rPr>
          <w:rFonts w:ascii="Times New Roman" w:hAnsi="Times New Roman" w:eastAsia="Times New Roman" w:cs="Times New Roman"/>
          <w:highlight w:val="white"/>
        </w:rPr>
      </w:r>
      <w:bookmarkStart w:id="34" w:name="_Toc51339699"/>
      <w:r>
        <w:rPr>
          <w:rFonts w:ascii="Times New Roman" w:hAnsi="Times New Roman" w:eastAsia="Times New Roman" w:cs="Times New Roman"/>
          <w:highlight w:val="white"/>
        </w:rPr>
        <w:t xml:space="preserve">Приложения</w:t>
      </w:r>
      <w:bookmarkEnd w:id="32"/>
      <w:r>
        <w:rPr>
          <w:rFonts w:ascii="Times New Roman" w:hAnsi="Times New Roman" w:eastAsia="Times New Roman" w:cs="Times New Roman"/>
          <w:highlight w:val="white"/>
        </w:rPr>
      </w:r>
      <w:bookmarkEnd w:id="33"/>
      <w:r>
        <w:rPr>
          <w:rFonts w:ascii="Times New Roman" w:hAnsi="Times New Roman" w:eastAsia="Times New Roman" w:cs="Times New Roman"/>
          <w:highlight w:val="white"/>
        </w:rPr>
      </w:r>
      <w:bookmarkEnd w:id="34"/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020"/>
        <w:jc w:val="both"/>
        <w:spacing w:before="60" w:after="0" w:line="36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Style w:val="1062"/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white"/>
          <w:shd w:val="clear" w:color="auto" w:fill="ffffff"/>
        </w:rPr>
        <w:t xml:space="preserve">Приложение №1 - Инструкция о пропускном и внутриобъектовом режимах на объектах СП «Благовещенская ТЭЦ» АО «ДГК»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1020"/>
        <w:jc w:val="both"/>
        <w:spacing w:before="60" w:after="0" w:line="36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highlight w:val="white"/>
        </w:rPr>
      </w:pPr>
      <w:r>
        <w:rPr>
          <w:rStyle w:val="1062"/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white"/>
          <w:shd w:val="clear" w:color="auto" w:fill="ffffff"/>
        </w:rPr>
        <w:t xml:space="preserve">Приложение №2 - Положение «О допуске персонала подрядных организаций к выполнению работ на объектах АО «ДГК»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020"/>
        <w:jc w:val="both"/>
        <w:spacing w:before="60" w:after="0" w:line="360" w:lineRule="auto"/>
        <w:widowControl w:val="off"/>
        <w:tabs>
          <w:tab w:val="left" w:pos="426" w:leader="none"/>
          <w:tab w:val="clear" w:pos="708" w:leader="none"/>
        </w:tabs>
        <w:rPr>
          <w:rStyle w:val="1062"/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ffffff"/>
        </w:r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851" w:right="567" w:bottom="851" w:left="992" w:header="680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 w:val="0"/>
          <w:bCs/>
          <w:i w:val="0"/>
          <w:sz w:val="24"/>
          <w:szCs w:val="24"/>
          <w:shd w:val="clear" w:color="auto" w:fill="ffffff"/>
        </w:rPr>
      </w:r>
      <w:r>
        <w:rPr>
          <w:rFonts w:ascii="Times New Roman" w:hAnsi="Times New Roman" w:eastAsia="Times New Roman" w:cs="Times New Roman"/>
        </w:rPr>
        <w:br w:type="page" w:clear="all"/>
      </w:r>
      <w:r>
        <w:rPr>
          <w:rStyle w:val="1062"/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ffffff"/>
        </w:rPr>
      </w:r>
      <w:r>
        <w:rPr>
          <w:rStyle w:val="1062"/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ffffff"/>
        </w:rPr>
      </w:r>
    </w:p>
    <w:p>
      <w:pPr>
        <w:pStyle w:val="1020"/>
        <w:jc w:val="center"/>
        <w:spacing w:before="240" w:after="120"/>
        <w:rPr>
          <w:rFonts w:ascii="Times New Roman" w:hAnsi="Times New Roman" w:cs="Times New Roman"/>
          <w:b/>
          <w:bCs/>
          <w:i/>
          <w:caps/>
          <w:sz w:val="24"/>
          <w:szCs w:val="24"/>
          <w:shd w:val="clear" w:color="auto" w:fill="ffff99"/>
        </w:rPr>
      </w:pPr>
      <w:r>
        <w:rPr>
          <w:rFonts w:ascii="Times New Roman" w:hAnsi="Times New Roman" w:eastAsia="Times New Roman" w:cs="Times New Roman"/>
        </w:rPr>
      </w:r>
      <w:bookmarkStart w:id="35" w:name="_Ref40301253"/>
      <w:r>
        <w:rPr>
          <w:rFonts w:ascii="Times New Roman" w:hAnsi="Times New Roman" w:eastAsia="Times New Roman" w:cs="Times New Roman"/>
        </w:rPr>
      </w:r>
      <w:bookmarkStart w:id="36" w:name="_Hlk48224758"/>
      <w:r>
        <w:rPr>
          <w:rFonts w:ascii="Times New Roman" w:hAnsi="Times New Roman" w:eastAsia="Times New Roman" w:cs="Times New Roman"/>
        </w:rPr>
      </w:r>
      <w:bookmarkEnd w:id="35"/>
      <w:r>
        <w:rPr>
          <w:rFonts w:ascii="Times New Roman" w:hAnsi="Times New Roman" w:eastAsia="Times New Roman" w:cs="Times New Roman"/>
        </w:rPr>
      </w:r>
      <w:bookmarkEnd w:id="36"/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</w:rPr>
        <w:t xml:space="preserve">Требования </w:t>
        <w:br/>
        <w:t xml:space="preserve">к оформлению и составлению документации по ценообразованию</w:t>
      </w:r>
      <w:r>
        <w:rPr>
          <w:rFonts w:ascii="Times New Roman" w:hAnsi="Times New Roman" w:cs="Times New Roman"/>
          <w:b/>
          <w:bCs/>
          <w:i/>
          <w:caps/>
          <w:sz w:val="24"/>
          <w:szCs w:val="24"/>
          <w:shd w:val="clear" w:color="auto" w:fill="ffff99"/>
        </w:rPr>
      </w:r>
      <w:r>
        <w:rPr>
          <w:rFonts w:ascii="Times New Roman" w:hAnsi="Times New Roman" w:cs="Times New Roman"/>
          <w:b/>
          <w:bCs/>
          <w:i/>
          <w:caps/>
          <w:sz w:val="24"/>
          <w:szCs w:val="24"/>
          <w:shd w:val="clear" w:color="auto" w:fill="ffff99"/>
        </w:rPr>
      </w:r>
    </w:p>
    <w:p>
      <w:pPr>
        <w:pStyle w:val="1020"/>
        <w:keepLines/>
        <w:keepNext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</w:rPr>
      </w:r>
      <w:bookmarkStart w:id="39" w:name="_Ref40301253_Копия_1"/>
      <w:r>
        <w:rPr>
          <w:rFonts w:ascii="Times New Roman" w:hAnsi="Times New Roman" w:eastAsia="Times New Roman" w:cs="Times New Roman"/>
        </w:rPr>
      </w:r>
      <w:bookmarkStart w:id="40" w:name="_Hlk48224758_Копия_1"/>
      <w:r>
        <w:rPr>
          <w:rFonts w:ascii="Times New Roman" w:hAnsi="Times New Roman" w:eastAsia="Times New Roman" w:cs="Times New Roman"/>
        </w:rPr>
      </w:r>
      <w:bookmarkEnd w:id="39"/>
      <w:r>
        <w:rPr>
          <w:rFonts w:ascii="Times New Roman" w:hAnsi="Times New Roman" w:eastAsia="Times New Roman" w:cs="Times New Roman"/>
        </w:rPr>
      </w:r>
      <w:bookmarkEnd w:id="4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right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 xml:space="preserve">Приложение 1.1. к ТТ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Спецификация поставляемого оборудования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0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tbl>
      <w:tblPr>
        <w:tblW w:w="15047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5"/>
        <w:gridCol w:w="1508"/>
        <w:gridCol w:w="993"/>
        <w:gridCol w:w="1416"/>
        <w:gridCol w:w="1276"/>
        <w:gridCol w:w="1703"/>
        <w:gridCol w:w="1133"/>
        <w:gridCol w:w="1276"/>
        <w:gridCol w:w="1276"/>
        <w:gridCol w:w="1276"/>
        <w:gridCol w:w="1133"/>
        <w:gridCol w:w="1551"/>
      </w:tblGrid>
      <w:tr>
        <w:tblPrEx/>
        <w:trPr>
          <w:trHeight w:val="10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5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п/п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Наименование оборудования 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Тип, марка, артикул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Изготовитель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Страна происхождения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Технические характеристики (описание)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Количество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Стоимость ед. (руб. без НДС)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*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Общая стоимость (руб. без НДС)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Срок поставки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1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Перечень документов, подтверждающих качество 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5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5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pStyle w:val="1020"/>
              <w:ind w:left="430" w:hanging="430"/>
              <w:jc w:val="center"/>
              <w:widowControl w:val="off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6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7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8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9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11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551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12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5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08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1020"/>
              <w:jc w:val="right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1020"/>
              <w:jc w:val="right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1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5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08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1020"/>
              <w:jc w:val="right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1020"/>
              <w:jc w:val="right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bottom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1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</w:tbl>
    <w:p>
      <w:pPr>
        <w:pStyle w:val="10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 xml:space="preserve">Примечание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в случае закупки оборудования (материалов) комплектом, в спецификации необходимо разбить его на позиции (ценообразующие и являющиеся оборудованием) с указанием полного наименования (тип, марка, артикул) каждой составляющей и стоимости за единицу.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rPr>
          <w:rFonts w:ascii="Times New Roman" w:hAnsi="Times New Roman" w:cs="Times New Roman"/>
          <w:sz w:val="24"/>
          <w:szCs w:val="24"/>
        </w:rPr>
        <w:sectPr>
          <w:headerReference w:type="default" r:id="rId14"/>
          <w:headerReference w:type="first" r:id="rId15"/>
          <w:footnotePr/>
          <w:endnotePr/>
          <w:type w:val="nextPage"/>
          <w:pgSz w:w="16838" w:h="11906" w:orient="landscape"/>
          <w:pgMar w:top="1304" w:right="539" w:bottom="924" w:left="1134" w:header="709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*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включения в спецификацию стоимости за единицу оборудования, МТР с учетом доставки, указать данное условие.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right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 xml:space="preserve">Приложение 1.2. к ТТ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1135"/>
        <w:ind w:left="1260" w:hanging="1080"/>
        <w:jc w:val="center"/>
        <w:widowControl/>
        <w:tabs>
          <w:tab w:val="clear" w:pos="708" w:leader="none"/>
          <w:tab w:val="left" w:pos="126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Требования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135"/>
        <w:ind w:left="1258" w:hanging="1077"/>
        <w:jc w:val="center"/>
        <w:spacing w:before="0" w:after="240"/>
        <w:widowControl/>
        <w:tabs>
          <w:tab w:val="clear" w:pos="708" w:leader="none"/>
          <w:tab w:val="left" w:pos="126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к оформлению и составлению сметной документации</w:t>
        <w:br/>
        <w:t xml:space="preserve">на выполнение шеф-монтажных работ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20"/>
        <w:ind w:left="142" w:hanging="142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Образец № 3п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W w:w="10035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035"/>
      </w:tblGrid>
      <w:tr>
        <w:tblPrEx/>
        <w:trPr/>
        <w:tc>
          <w:tcPr>
            <w:tcW w:w="10035" w:type="dxa"/>
            <w:textDirection w:val="lrTb"/>
            <w:noWrap w:val="false"/>
          </w:tcPr>
          <w:p>
            <w:pPr>
              <w:pStyle w:val="1020"/>
              <w:ind w:left="6523" w:hanging="284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Приложение №_____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ind w:left="6239" w:right="-284" w:firstLine="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договору от ______№_______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ind w:left="6239" w:right="-284" w:firstLine="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(дополнительному соглашению)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tbl>
            <w:tblPr>
              <w:tblW w:w="9564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4349"/>
              <w:gridCol w:w="5214"/>
            </w:tblGrid>
            <w:tr>
              <w:tblPrEx/>
              <w:trPr>
                <w:trHeight w:val="446"/>
              </w:trPr>
              <w:tc>
                <w:tcPr>
                  <w:tcW w:w="4349" w:type="dxa"/>
                  <w:vAlign w:val="bottom"/>
                  <w:textDirection w:val="lrTb"/>
                  <w:noWrap w:val="false"/>
                </w:tcPr>
                <w:p>
                  <w:pPr>
                    <w:pStyle w:val="1020"/>
                    <w:widowControl w:val="off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r>
                </w:p>
                <w:p>
                  <w:pPr>
                    <w:pStyle w:val="102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4"/>
                      <w:szCs w:val="24"/>
                    </w:rPr>
                    <w:t xml:space="preserve">СОГЛАСОВАНО: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02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________________(Подрядчик)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02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________________ Ф.И.О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02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5214" w:type="dxa"/>
                  <w:textDirection w:val="lrTb"/>
                  <w:noWrap w:val="false"/>
                </w:tcPr>
                <w:p>
                  <w:pPr>
                    <w:pStyle w:val="1020"/>
                    <w:widowControl w:val="off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r>
                </w:p>
                <w:p>
                  <w:pPr>
                    <w:pStyle w:val="1020"/>
                    <w:ind w:left="1886" w:firstLine="0"/>
                    <w:widowControl w:val="off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4"/>
                      <w:szCs w:val="24"/>
                    </w:rPr>
                    <w:t xml:space="preserve">УТВЕРЖДАЮ: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r>
                </w:p>
                <w:p>
                  <w:pPr>
                    <w:pStyle w:val="1020"/>
                    <w:ind w:left="1886" w:firstLine="0"/>
                    <w:widowControl w:val="off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  <w:t xml:space="preserve">_________________(Заказчик)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r>
                </w:p>
                <w:p>
                  <w:pPr>
                    <w:pStyle w:val="1020"/>
                    <w:ind w:left="1886" w:firstLin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_________________Ф.И.О.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020"/>
                    <w:widowControl w:val="off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020"/>
              <w:jc w:val="center"/>
              <w:shd w:val="clear" w:color="auto" w:fill="ffffff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Смета № </w:t>
              <w:br/>
              <w:t xml:space="preserve">на шеф - монтажные работы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предприятия, здания, сооружения, вида шеф-монтажных работ_____________________________________________________________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монтажной организации 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организации заказчика 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ab/>
              <w:tab/>
              <w:tab/>
              <w:tab/>
              <w:tab/>
              <w:tab/>
              <w:tab/>
              <w:t xml:space="preserve">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left w:w="28" w:type="dxa"/>
                <w:top w:w="0" w:type="dxa"/>
                <w:right w:w="2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549"/>
              <w:gridCol w:w="2200"/>
              <w:gridCol w:w="1212"/>
              <w:gridCol w:w="1169"/>
              <w:gridCol w:w="1400"/>
              <w:gridCol w:w="1396"/>
              <w:gridCol w:w="1722"/>
            </w:tblGrid>
            <w:tr>
              <w:tblPrEx/>
              <w:trPr>
                <w:tblHeader/>
              </w:trPr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54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№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п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val="en-US"/>
                    </w:rPr>
                    <w:t xml:space="preserve">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п.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2200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W w:w="2381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Исполнители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1400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139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за 1 день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1722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blHeader/>
              </w:trPr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7" w:type="dxa"/>
                    <w:right w:w="2" w:type="dxa"/>
                  </w:tcMar>
                  <w:tcW w:w="549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1020"/>
                    <w:widowControl w:val="o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7" w:type="dxa"/>
                    <w:right w:w="2" w:type="dxa"/>
                  </w:tcMar>
                  <w:tcW w:w="2200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1020"/>
                    <w:widowControl w:val="o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212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количество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69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должность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7" w:type="dxa"/>
                    <w:right w:w="2" w:type="dxa"/>
                  </w:tcMar>
                  <w:tcW w:w="1400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1020"/>
                    <w:widowControl w:val="o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7" w:type="dxa"/>
                    <w:right w:w="2" w:type="dxa"/>
                  </w:tcMar>
                  <w:tcW w:w="1396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1020"/>
                    <w:widowControl w:val="o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7" w:type="dxa"/>
                    <w:right w:w="2" w:type="dxa"/>
                  </w:tcMar>
                  <w:tcW w:w="1722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1020"/>
                    <w:widowControl w:val="o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blHeader/>
              </w:trPr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549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2200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212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69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1400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1396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1722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jc w:val="center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7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W w:w="549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W w:w="2200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W w:w="1212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W w:w="1169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W w:w="1400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W w:w="1396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W w:w="1722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549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2200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212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69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1400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1396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1722" w:type="dxa"/>
                  <w:vAlign w:val="center"/>
                  <w:textDirection w:val="lrTb"/>
                  <w:noWrap w:val="false"/>
                </w:tcPr>
                <w:p>
                  <w:pPr>
                    <w:pStyle w:val="1020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 заработной платы, в руб. 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Расчет стоимости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ind w:firstLine="3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2.1 Накладные расходы,%___________________________________________________________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2.2 Себестоимость работ 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2.3 Уровень рентабельности, % 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Командировочные расходы (по расчету)_____________________________________________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jc w:val="center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(сумма прописью)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Составил:________/должность,организация/_______/подпись/________/расшифровка подписи/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Проверил:________/должность, организация/________/подпись/______/расшифровка подписи/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0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ПОЯСНИТЕЛЬНАЯ ЗАПИСКА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по заполнению формы №3п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при составлении смет на шеф-монтажные, шеф-наладочные работы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20"/>
        <w:ind w:firstLine="540"/>
        <w:jc w:val="both"/>
        <w:tabs>
          <w:tab w:val="clear" w:pos="708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1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1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Расчетом по трудозатратам (форма №3п)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1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Форма сметы для определения затрат по себестоимости и уровню рентабельности (форма №3п) приведена в образце 3П Приложения 2.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1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округлять до целых рублей.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1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Особенности заполнения формы 3п.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firstLine="567"/>
        <w:jc w:val="both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Раздел 1. Расчет заработной платы: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pStyle w:val="1020"/>
        <w:numPr>
          <w:ilvl w:val="0"/>
          <w:numId w:val="10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 графе 1 приводится нумерация выполняемых работ;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0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 графе 2 приводится наименование выполняемых работ;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0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0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0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 графе 5 для каждой должностной группы (при необходимости с указанием конкретных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0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0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en-US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contextualSpacing/>
        <w:ind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Данные по к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firstLine="567"/>
        <w:jc w:val="both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Раздел 2. Расчет стоимости выполнения работ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pStyle w:val="1020"/>
        <w:numPr>
          <w:ilvl w:val="0"/>
          <w:numId w:val="10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 пункте 2.1 указываются на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0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0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numPr>
          <w:ilvl w:val="0"/>
          <w:numId w:val="10"/>
        </w:numPr>
        <w:contextualSpacing/>
        <w:ind w:left="0"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уровень рентабельности по отношению к себестоимости может составлять до 15%.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firstLine="567"/>
        <w:jc w:val="both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firstLine="567"/>
        <w:jc w:val="both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Раздел 3. Расчет командировочных расходов.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pStyle w:val="1020"/>
        <w:ind w:firstLine="567"/>
        <w:jc w:val="both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firstLine="567"/>
        <w:jc w:val="both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Стоимость проезда необходимо указать по каждому виду транспорта отдельно туда и отдельно обратно.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firstLine="567"/>
        <w:jc w:val="both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firstLine="567"/>
        <w:jc w:val="both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35"/>
        <w:ind w:firstLine="567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Лимиты командировочных расходов при командировании на территории, не относящиеся к районам Крайнего Севера и приравненных к ним местностям, принимать в размере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</w:rPr>
        <w:t xml:space="preserve">не более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135"/>
        <w:numPr>
          <w:ilvl w:val="0"/>
          <w:numId w:val="12"/>
        </w:numPr>
        <w:ind w:left="0" w:firstLine="567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суточные – 700 руб./сутки;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135"/>
        <w:numPr>
          <w:ilvl w:val="0"/>
          <w:numId w:val="12"/>
        </w:numPr>
        <w:ind w:left="0" w:firstLine="567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проживание – до 5000 руб./сутки;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135"/>
        <w:numPr>
          <w:ilvl w:val="0"/>
          <w:numId w:val="12"/>
        </w:numPr>
        <w:ind w:left="0" w:firstLine="567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проезд: поезд (купе) или самолет (класс–эконом с багажом до 20 (двадцати) кг, ручная кладь до 10 (десяти) кг).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135"/>
        <w:ind w:firstLine="567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Лимиты командировочных расходов при командировании на территории, относящейся к местностям, приравненным к районам Крайнего Севера, принимать в размере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</w:rPr>
        <w:t xml:space="preserve">не более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135"/>
        <w:numPr>
          <w:ilvl w:val="0"/>
          <w:numId w:val="12"/>
        </w:numPr>
        <w:ind w:left="0" w:firstLine="567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суточные – 945 руб./сутки;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135"/>
        <w:numPr>
          <w:ilvl w:val="0"/>
          <w:numId w:val="12"/>
        </w:numPr>
        <w:ind w:left="0" w:firstLine="567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проживание – до 7000 руб./сутки;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135"/>
        <w:numPr>
          <w:ilvl w:val="0"/>
          <w:numId w:val="12"/>
        </w:numPr>
        <w:ind w:left="0" w:firstLine="567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проезд: поезд (купе) или самолет (класс–эконом с багажом </w:t>
        <w:br/>
        <w:t xml:space="preserve">до 20 (двадцати) кг, ручная кладь до 10 (десяти) кг).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20"/>
        <w:contextualSpacing/>
        <w:ind w:firstLine="567"/>
        <w:jc w:val="both"/>
        <w:spacing w:before="0" w:after="0"/>
        <w:tabs>
          <w:tab w:val="clear" w:pos="708" w:leader="none"/>
          <w:tab w:val="left" w:pos="993" w:leader="none"/>
          <w:tab w:val="left" w:pos="1080" w:leader="none"/>
        </w:tabs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color w:val="000000" w:themeColor="text1"/>
          <w:sz w:val="24"/>
          <w:szCs w:val="24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r>
    </w:p>
    <w:p>
      <w:pPr>
        <w:pStyle w:val="1020"/>
        <w:contextualSpacing/>
        <w:ind w:firstLine="567"/>
        <w:jc w:val="both"/>
        <w:spacing w:before="0" w:after="0"/>
        <w:tabs>
          <w:tab w:val="left" w:pos="567" w:leader="none"/>
          <w:tab w:val="clear" w:pos="70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Методом анализа ТКП в соответствии с Методикой ПЦ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contextualSpacing/>
        <w:ind w:firstLine="567"/>
        <w:jc w:val="both"/>
        <w:spacing w:before="0" w:after="0"/>
        <w:tabs>
          <w:tab w:val="left" w:pos="567" w:leader="none"/>
          <w:tab w:val="clear" w:pos="708" w:leader="none"/>
        </w:tabs>
        <w:rPr>
          <w:rFonts w:ascii="Times New Roman" w:hAnsi="Times New Roman" w:cs="Times New Roman"/>
          <w:sz w:val="24"/>
          <w:szCs w:val="24"/>
        </w:rPr>
        <w:sectPr>
          <w:headerReference w:type="default" r:id="rId16"/>
          <w:headerReference w:type="first" r:id="rId17"/>
          <w:footnotePr/>
          <w:endnotePr/>
          <w:type w:val="nextPage"/>
          <w:pgSz w:w="11906" w:h="16838" w:orient="portrait"/>
          <w:pgMar w:top="766" w:right="737" w:bottom="720" w:left="1134" w:header="709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пояснительной записке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заполнению формы 3П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left="5811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СПРАВКА от__________ (указать дату составления справки) (Образец)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8793" w:type="dxa"/>
        <w:tblInd w:w="9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п/п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Должность специалиста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Заработная плата в день, в руб.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63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81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63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</w:tbl>
    <w:p>
      <w:pPr>
        <w:pStyle w:val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Накладные расходы _______(%)</w:t>
        <w:tab/>
        <w:tab/>
        <w:tab/>
        <w:tab/>
        <w:tab/>
        <w:tab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Рентабельность предприятия_________(%)</w:t>
        <w:tab/>
        <w:tab/>
        <w:tab/>
        <w:tab/>
        <w:tab/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Дата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(Должность единоличного исполнительного органа контрагента/подрядчика)</w:t>
        <w:tab/>
        <w:tab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(краткое/полное наименование организации) ________________ (ФИО)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м.п.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(Главный бухгалтер)</w:t>
      </w:r>
      <w:r>
        <w:rPr>
          <w:rStyle w:val="1032"/>
          <w:rFonts w:ascii="Times New Roman" w:hAnsi="Times New Roman" w:eastAsia="Times New Roman" w:cs="Times New Roman"/>
          <w:sz w:val="24"/>
          <w:szCs w:val="24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</w:rPr>
        <w:tab/>
        <w:tab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(краткое/полное наименование организации контрагента/подрядчика) _________ (ФИО)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both"/>
        <w:rPr>
          <w:rFonts w:ascii="Times New Roman" w:hAnsi="Times New Roman" w:cs="Times New Roman"/>
          <w:sz w:val="24"/>
          <w:szCs w:val="24"/>
        </w:rPr>
        <w:sectPr>
          <w:headerReference w:type="default" r:id="rId18"/>
          <w:headerReference w:type="first" r:id="rId19"/>
          <w:footnotePr>
            <w:numFmt w:val="decimal"/>
            <w:numRestart w:val="eachPage"/>
          </w:footnotePr>
          <w:endnotePr/>
          <w:type w:val="nextPage"/>
          <w:pgSz w:w="11906" w:h="16838" w:orient="portrait"/>
          <w:pgMar w:top="1134" w:right="851" w:bottom="992" w:left="1134" w:header="0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м.п.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left="5812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left="5812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пояснительной записке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left="5812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заполнению формы 3П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left="581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Образец расчета командировочных расходов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20"/>
        <w:ind w:hanging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 __ к смете № 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Расчет командировочных расходов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W w:w="15339" w:type="dxa"/>
        <w:tblInd w:w="-31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6"/>
        <w:gridCol w:w="2411"/>
        <w:gridCol w:w="1277"/>
        <w:gridCol w:w="1560"/>
        <w:gridCol w:w="1274"/>
        <w:gridCol w:w="1701"/>
        <w:gridCol w:w="1709"/>
        <w:gridCol w:w="1569"/>
        <w:gridCol w:w="1570"/>
        <w:gridCol w:w="167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Пункт назначения </w:t>
              <w:br/>
              <w:t xml:space="preserve">(туда / обратно)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Вид транспорта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Стоимость проезда, руб. (без НДС)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Стоимость суточных, руб./сут. </w:t>
              <w:br/>
              <w:t xml:space="preserve">(без НДС)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9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Стоимость проживания, руб./сут.. </w:t>
              <w:br/>
              <w:t xml:space="preserve">(без НДС)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9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командировок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0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Кол-во командированных человек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Итого стоимость командировочных расходов, руб. </w:t>
              <w:br/>
              <w:t xml:space="preserve">(без НДС)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7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Из пункта 1 в пункт 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Из пункта 1 в пункт 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9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9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Из пункта 2 в пункт 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9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9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9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9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0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Из пункта 4 в пункт 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9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9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71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17"/>
        </w:trPr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7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Из пункта 5 в пункт 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Из пункта 5 в пункт 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9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9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Из пункта 4 в пункт 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9" w:type="dxa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9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0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9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9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0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Из пункта 2 в пункт 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9" w:type="dxa"/>
            <w:vAlign w:val="center"/>
            <w:textDirection w:val="lrTb"/>
            <w:noWrap w:val="false"/>
          </w:tcPr>
          <w:p>
            <w:pPr>
              <w:pStyle w:val="102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9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0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1020"/>
              <w:jc w:val="righ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71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1020"/>
              <w:jc w:val="righ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71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10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1020"/>
        <w:ind w:right="2948" w:firstLine="0"/>
        <w:jc w:val="both"/>
        <w:spacing w:before="120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Руководитель проектной организации 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1020"/>
        <w:ind w:right="2947" w:firstLine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[подпись (инициалы, фамилия)]</w:t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i/>
          <w:iCs/>
          <w:sz w:val="20"/>
          <w:szCs w:val="20"/>
        </w:rPr>
      </w:r>
    </w:p>
    <w:p>
      <w:pPr>
        <w:pStyle w:val="1020"/>
        <w:ind w:right="2947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i/>
          <w:iCs/>
          <w:sz w:val="20"/>
          <w:szCs w:val="20"/>
        </w:rPr>
      </w:r>
    </w:p>
    <w:p>
      <w:pPr>
        <w:pStyle w:val="1020"/>
        <w:ind w:right="2947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Главный инженер проекта 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1020"/>
        <w:ind w:right="2947" w:firstLine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[подпись (инициалы, фамилия)]</w:t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i/>
          <w:iCs/>
          <w:sz w:val="20"/>
          <w:szCs w:val="20"/>
        </w:rPr>
      </w:r>
    </w:p>
    <w:p>
      <w:pPr>
        <w:pStyle w:val="1020"/>
        <w:ind w:right="2947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i/>
          <w:iCs/>
          <w:sz w:val="20"/>
          <w:szCs w:val="20"/>
        </w:rPr>
      </w:r>
    </w:p>
    <w:p>
      <w:pPr>
        <w:pStyle w:val="1020"/>
        <w:ind w:right="2947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Начальник ______________________ отдела 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1020"/>
        <w:ind w:right="2947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                             </w:t>
      </w: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(наименование)                                                                        [подпись (инициалы, фамилия)]</w:t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i/>
          <w:iCs/>
          <w:sz w:val="20"/>
          <w:szCs w:val="20"/>
        </w:rPr>
      </w:r>
    </w:p>
    <w:p>
      <w:pPr>
        <w:pStyle w:val="1020"/>
        <w:ind w:right="2947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i/>
          <w:iCs/>
          <w:sz w:val="20"/>
          <w:szCs w:val="20"/>
        </w:rPr>
      </w:r>
    </w:p>
    <w:p>
      <w:pPr>
        <w:pStyle w:val="1020"/>
        <w:ind w:right="2947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Заказчик 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1020"/>
        <w:ind w:right="2947" w:firstLine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[должность, подпись (инициалы, фамилия)]</w:t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  <w:i/>
          <w:iCs/>
          <w:sz w:val="20"/>
          <w:szCs w:val="20"/>
        </w:rPr>
      </w:r>
    </w:p>
    <w:p>
      <w:pPr>
        <w:pStyle w:val="1020"/>
        <w:ind w:left="637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i/>
          <w:iCs/>
          <w:sz w:val="24"/>
          <w:szCs w:val="24"/>
          <w:shd w:val="clear" w:color="auto" w:fill="ffff99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  <w:i/>
          <w:iCs/>
          <w:sz w:val="24"/>
          <w:szCs w:val="24"/>
          <w:shd w:val="clear" w:color="auto" w:fill="ffff99"/>
        </w:rPr>
      </w:r>
      <w:r>
        <w:rPr>
          <w:rFonts w:ascii="Times New Roman" w:hAnsi="Times New Roman" w:cs="Times New Roman"/>
          <w:i/>
          <w:iCs/>
          <w:sz w:val="24"/>
          <w:szCs w:val="24"/>
          <w:shd w:val="clear" w:color="auto" w:fill="ffff99"/>
        </w:rPr>
      </w:r>
    </w:p>
    <w:sectPr>
      <w:headerReference w:type="default" r:id="rId20"/>
      <w:headerReference w:type="first" r:id="rId21"/>
      <w:footnotePr>
        <w:numFmt w:val="decimal"/>
        <w:numRestart w:val="eachPage"/>
      </w:footnotePr>
      <w:endnotePr/>
      <w:type w:val="nextPage"/>
      <w:pgSz w:w="16838" w:h="11906" w:orient="landscape"/>
      <w:pgMar w:top="1134" w:right="1134" w:bottom="851" w:left="992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Tahoma">
    <w:panose1 w:val="020B0604030504040204"/>
  </w:font>
  <w:font w:name="Noto Sans CJK SC">
    <w:panose1 w:val="020B0502040504020204"/>
  </w:font>
  <w:font w:name="Wingdings">
    <w:panose1 w:val="05010000000000000000"/>
  </w:font>
  <w:font w:name="Liberation Sans">
    <w:panose1 w:val="020B0604020202020204"/>
  </w:font>
  <w:font w:name="Cambria">
    <w:panose1 w:val="02040803050406030204"/>
  </w:font>
  <w:font w:name="Calibri">
    <w:panose1 w:val="020F0502020204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  <w:footnote w:id="2">
    <w:p>
      <w:pPr>
        <w:pStyle w:val="1091"/>
        <w:widowControl w:val="off"/>
      </w:pPr>
      <w:r>
        <w:rPr>
          <w:rStyle w:val="1031"/>
        </w:rPr>
        <w:footnoteRef/>
      </w:r>
      <w:r>
        <w:t xml:space="preserve"> </w:t>
      </w:r>
      <w:r>
        <w:t xml:space="preserve">Если в организации функции главного бухгалтера выполняет генеральный директор–ставится только его виза.</w:t>
      </w:r>
      <w:r/>
    </w:p>
    <w:p>
      <w:pPr>
        <w:pStyle w:val="1091"/>
        <w:widowControl w:val="off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0"/>
    </w:pPr>
    <w:r/>
    <w:r/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26</w:t>
    </w:r>
    <w:r>
      <w:fldChar w:fldCharType="end"/>
    </w:r>
    <w:r/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1097"/>
                            <w:rPr>
                              <w:rStyle w:val="1033"/>
                            </w:rPr>
                          </w:pPr>
                          <w:r>
                            <w:rPr>
                              <w:rStyle w:val="103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103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103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1033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1033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1033"/>
                            </w:rPr>
                          </w:r>
                          <w:r>
                            <w:rPr>
                              <w:rStyle w:val="1033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1097"/>
                      <w:rPr>
                        <w:rStyle w:val="1033"/>
                      </w:rPr>
                    </w:pPr>
                    <w:r>
                      <w:rPr>
                        <w:rStyle w:val="1033"/>
                        <w:color w:val="000000"/>
                      </w:rPr>
                      <w:fldChar w:fldCharType="begin"/>
                    </w:r>
                    <w:r>
                      <w:rPr>
                        <w:rStyle w:val="1033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1033"/>
                        <w:color w:val="000000"/>
                      </w:rPr>
                      <w:fldChar w:fldCharType="separate"/>
                    </w:r>
                    <w:r>
                      <w:rPr>
                        <w:rStyle w:val="1033"/>
                        <w:color w:val="000000"/>
                      </w:rPr>
                      <w:t xml:space="preserve">0</w:t>
                    </w:r>
                    <w:r>
                      <w:rPr>
                        <w:rStyle w:val="1033"/>
                        <w:color w:val="000000"/>
                      </w:rPr>
                      <w:fldChar w:fldCharType="end"/>
                    </w:r>
                    <w:r>
                      <w:rPr>
                        <w:rStyle w:val="1033"/>
                      </w:rPr>
                    </w:r>
                    <w:r>
                      <w:rPr>
                        <w:rStyle w:val="1033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19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  <w:jc w:val="center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20</w:t>
    </w:r>
    <w:r>
      <w:fldChar w:fldCharType="end"/>
    </w:r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21</w:t>
    </w:r>
    <w:r>
      <w:fldChar w:fldCharType="end"/>
    </w:r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8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109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1132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1133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1131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1023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1142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1143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146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144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14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149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0" w:leader="none"/>
        </w:tabs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  <w:tabs>
          <w:tab w:val="num" w:pos="0" w:leader="none"/>
        </w:tabs>
      </w:pPr>
      <w:rPr>
        <w:rFonts w:hint="default" w:ascii="Symbol" w:hAnsi="Symbol" w:cs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76">
    <w:name w:val="Heading 1 Char"/>
    <w:basedOn w:val="1030"/>
    <w:link w:val="1021"/>
    <w:uiPriority w:val="9"/>
    <w:rPr>
      <w:rFonts w:ascii="Arial" w:hAnsi="Arial" w:eastAsia="Arial" w:cs="Arial"/>
      <w:sz w:val="40"/>
      <w:szCs w:val="40"/>
    </w:rPr>
  </w:style>
  <w:style w:type="character" w:styleId="877">
    <w:name w:val="Heading 2 Char"/>
    <w:basedOn w:val="1030"/>
    <w:link w:val="1022"/>
    <w:uiPriority w:val="9"/>
    <w:rPr>
      <w:rFonts w:ascii="Arial" w:hAnsi="Arial" w:eastAsia="Arial" w:cs="Arial"/>
      <w:sz w:val="34"/>
    </w:rPr>
  </w:style>
  <w:style w:type="character" w:styleId="878">
    <w:name w:val="Heading 3 Char"/>
    <w:basedOn w:val="1030"/>
    <w:link w:val="1023"/>
    <w:uiPriority w:val="9"/>
    <w:rPr>
      <w:rFonts w:ascii="Arial" w:hAnsi="Arial" w:eastAsia="Arial" w:cs="Arial"/>
      <w:sz w:val="30"/>
      <w:szCs w:val="30"/>
    </w:rPr>
  </w:style>
  <w:style w:type="character" w:styleId="879">
    <w:name w:val="Heading 4 Char"/>
    <w:basedOn w:val="1030"/>
    <w:link w:val="1024"/>
    <w:uiPriority w:val="9"/>
    <w:rPr>
      <w:rFonts w:ascii="Arial" w:hAnsi="Arial" w:eastAsia="Arial" w:cs="Arial"/>
      <w:b/>
      <w:bCs/>
      <w:sz w:val="26"/>
      <w:szCs w:val="26"/>
    </w:rPr>
  </w:style>
  <w:style w:type="character" w:styleId="880">
    <w:name w:val="Heading 5 Char"/>
    <w:basedOn w:val="1030"/>
    <w:link w:val="1025"/>
    <w:uiPriority w:val="9"/>
    <w:rPr>
      <w:rFonts w:ascii="Arial" w:hAnsi="Arial" w:eastAsia="Arial" w:cs="Arial"/>
      <w:b/>
      <w:bCs/>
      <w:sz w:val="24"/>
      <w:szCs w:val="24"/>
    </w:rPr>
  </w:style>
  <w:style w:type="character" w:styleId="881">
    <w:name w:val="Heading 6 Char"/>
    <w:basedOn w:val="1030"/>
    <w:link w:val="1026"/>
    <w:uiPriority w:val="9"/>
    <w:rPr>
      <w:rFonts w:ascii="Arial" w:hAnsi="Arial" w:eastAsia="Arial" w:cs="Arial"/>
      <w:b/>
      <w:bCs/>
      <w:sz w:val="22"/>
      <w:szCs w:val="22"/>
    </w:rPr>
  </w:style>
  <w:style w:type="character" w:styleId="882">
    <w:name w:val="Heading 7 Char"/>
    <w:basedOn w:val="1030"/>
    <w:link w:val="10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3">
    <w:name w:val="Heading 8 Char"/>
    <w:basedOn w:val="1030"/>
    <w:link w:val="1028"/>
    <w:uiPriority w:val="9"/>
    <w:rPr>
      <w:rFonts w:ascii="Arial" w:hAnsi="Arial" w:eastAsia="Arial" w:cs="Arial"/>
      <w:i/>
      <w:iCs/>
      <w:sz w:val="22"/>
      <w:szCs w:val="22"/>
    </w:rPr>
  </w:style>
  <w:style w:type="character" w:styleId="884">
    <w:name w:val="Heading 9 Char"/>
    <w:basedOn w:val="1030"/>
    <w:link w:val="1029"/>
    <w:uiPriority w:val="9"/>
    <w:rPr>
      <w:rFonts w:ascii="Arial" w:hAnsi="Arial" w:eastAsia="Arial" w:cs="Arial"/>
      <w:i/>
      <w:iCs/>
      <w:sz w:val="21"/>
      <w:szCs w:val="21"/>
    </w:rPr>
  </w:style>
  <w:style w:type="character" w:styleId="885">
    <w:name w:val="Title Char"/>
    <w:basedOn w:val="1030"/>
    <w:link w:val="1085"/>
    <w:uiPriority w:val="10"/>
    <w:rPr>
      <w:sz w:val="48"/>
      <w:szCs w:val="48"/>
    </w:rPr>
  </w:style>
  <w:style w:type="character" w:styleId="886">
    <w:name w:val="Subtitle Char"/>
    <w:basedOn w:val="1030"/>
    <w:link w:val="1123"/>
    <w:uiPriority w:val="11"/>
    <w:rPr>
      <w:sz w:val="24"/>
      <w:szCs w:val="24"/>
    </w:rPr>
  </w:style>
  <w:style w:type="character" w:styleId="887">
    <w:name w:val="Quote Char"/>
    <w:link w:val="1125"/>
    <w:uiPriority w:val="29"/>
    <w:rPr>
      <w:i/>
    </w:rPr>
  </w:style>
  <w:style w:type="character" w:styleId="888">
    <w:name w:val="Intense Quote Char"/>
    <w:link w:val="1126"/>
    <w:uiPriority w:val="30"/>
    <w:rPr>
      <w:i/>
    </w:rPr>
  </w:style>
  <w:style w:type="character" w:styleId="889">
    <w:name w:val="Header Char"/>
    <w:basedOn w:val="1030"/>
    <w:link w:val="1097"/>
    <w:uiPriority w:val="99"/>
  </w:style>
  <w:style w:type="character" w:styleId="890">
    <w:name w:val="Footer Char"/>
    <w:basedOn w:val="1030"/>
    <w:link w:val="1099"/>
    <w:uiPriority w:val="99"/>
  </w:style>
  <w:style w:type="character" w:styleId="891">
    <w:name w:val="Caption Char"/>
    <w:basedOn w:val="1030"/>
    <w:link w:val="1083"/>
    <w:uiPriority w:val="35"/>
    <w:rPr>
      <w:b/>
      <w:bCs/>
      <w:color w:val="4f81bd" w:themeColor="accent1"/>
      <w:sz w:val="18"/>
      <w:szCs w:val="18"/>
    </w:rPr>
  </w:style>
  <w:style w:type="table" w:styleId="892">
    <w:name w:val="Table Grid Light"/>
    <w:basedOn w:val="11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3">
    <w:name w:val="Plain Table 1"/>
    <w:basedOn w:val="11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4">
    <w:name w:val="Plain Table 2"/>
    <w:basedOn w:val="116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5">
    <w:name w:val="Plain Table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6">
    <w:name w:val="Plain Table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Plain Table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8">
    <w:name w:val="Grid Table 1 Light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Grid Table 1 Light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Grid Table 1 Light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Grid Table 1 Light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Grid Table 1 Light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1 Light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Grid Table 1 Light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Grid Table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2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2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2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2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2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2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3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3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3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3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3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3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4"/>
    <w:basedOn w:val="11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0">
    <w:name w:val="Grid Table 4 - Accent 1"/>
    <w:basedOn w:val="11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1">
    <w:name w:val="Grid Table 4 - Accent 2"/>
    <w:basedOn w:val="11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Grid Table 4 - Accent 3"/>
    <w:basedOn w:val="11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3">
    <w:name w:val="Grid Table 4 - Accent 4"/>
    <w:basedOn w:val="11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Grid Table 4 - Accent 5"/>
    <w:basedOn w:val="11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25">
    <w:name w:val="Grid Table 4 - Accent 6"/>
    <w:basedOn w:val="11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26">
    <w:name w:val="Grid Table 5 Dark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27">
    <w:name w:val="Grid Table 5 Dark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28">
    <w:name w:val="Grid Table 5 Dark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29">
    <w:name w:val="Grid Table 5 Dark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30">
    <w:name w:val="Grid Table 5 Dark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31">
    <w:name w:val="Grid Table 5 Dark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32">
    <w:name w:val="Grid Table 5 Dark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33">
    <w:name w:val="Grid Table 6 Colorful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34">
    <w:name w:val="Grid Table 6 Colorful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35">
    <w:name w:val="Grid Table 6 Colorful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6">
    <w:name w:val="Grid Table 6 Colorful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7">
    <w:name w:val="Grid Table 6 Colorful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8">
    <w:name w:val="Grid Table 6 Colorful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9">
    <w:name w:val="Grid Table 6 Colorful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0">
    <w:name w:val="Grid Table 7 Colorful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7 Colorful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7 Colorful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7 Colorful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7 Colorful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7 Colorful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7 Colorful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List Table 1 Light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List Table 1 Light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List Table 1 Light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List Table 1 Light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List Table 1 Light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1 Light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1 Light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List Table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5">
    <w:name w:val="List Table 2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56">
    <w:name w:val="List Table 2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57">
    <w:name w:val="List Table 2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58">
    <w:name w:val="List Table 2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9">
    <w:name w:val="List Table 2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60">
    <w:name w:val="List Table 2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1">
    <w:name w:val="List Table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3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3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3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3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3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3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4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4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4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4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4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4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5 Dark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6">
    <w:name w:val="List Table 5 Dark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7">
    <w:name w:val="List Table 5 Dark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8">
    <w:name w:val="List Table 5 Dark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9">
    <w:name w:val="List Table 5 Dark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0">
    <w:name w:val="List Table 5 Dark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1">
    <w:name w:val="List Table 5 Dark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2">
    <w:name w:val="List Table 6 Colorful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3">
    <w:name w:val="List Table 6 Colorful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84">
    <w:name w:val="List Table 6 Colorful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85">
    <w:name w:val="List Table 6 Colorful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86">
    <w:name w:val="List Table 6 Colorful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87">
    <w:name w:val="List Table 6 Colorful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88">
    <w:name w:val="List Table 6 Colorful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9">
    <w:name w:val="List Table 7 Colorful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90">
    <w:name w:val="List Table 7 Colorful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91">
    <w:name w:val="List Table 7 Colorful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92">
    <w:name w:val="List Table 7 Colorful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93">
    <w:name w:val="List Table 7 Colorful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94">
    <w:name w:val="List Table 7 Colorful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95">
    <w:name w:val="List Table 7 Colorful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96">
    <w:name w:val="Lined - Accent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7">
    <w:name w:val="Lined - Accent 1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98">
    <w:name w:val="Lined - Accent 2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9">
    <w:name w:val="Lined - Accent 3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00">
    <w:name w:val="Lined - Accent 4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01">
    <w:name w:val="Lined - Accent 5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02">
    <w:name w:val="Lined - Accent 6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03">
    <w:name w:val="Bordered &amp; Lined - Accent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4">
    <w:name w:val="Bordered &amp; Lined - Accent 1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05">
    <w:name w:val="Bordered &amp; Lined - Accent 2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06">
    <w:name w:val="Bordered &amp; Lined - Accent 3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07">
    <w:name w:val="Bordered &amp; Lined - Accent 4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08">
    <w:name w:val="Bordered &amp; Lined - Accent 5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09">
    <w:name w:val="Bordered &amp; Lined - Accent 6"/>
    <w:basedOn w:val="11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0">
    <w:name w:val="Bordered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1">
    <w:name w:val="Bordered - Accent 1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2">
    <w:name w:val="Bordered - Accent 2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3">
    <w:name w:val="Bordered - Accent 3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14">
    <w:name w:val="Bordered - Accent 4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15">
    <w:name w:val="Bordered - Accent 5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16">
    <w:name w:val="Bordered - Accent 6"/>
    <w:basedOn w:val="11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17">
    <w:name w:val="Footnote Text Char"/>
    <w:link w:val="1091"/>
    <w:uiPriority w:val="99"/>
    <w:rPr>
      <w:sz w:val="18"/>
    </w:rPr>
  </w:style>
  <w:style w:type="character" w:styleId="1018">
    <w:name w:val="Endnote Text Char"/>
    <w:link w:val="1148"/>
    <w:uiPriority w:val="99"/>
    <w:rPr>
      <w:sz w:val="20"/>
    </w:rPr>
  </w:style>
  <w:style w:type="paragraph" w:styleId="1019">
    <w:name w:val="table of figures"/>
    <w:basedOn w:val="1020"/>
    <w:next w:val="1020"/>
    <w:uiPriority w:val="99"/>
    <w:unhideWhenUsed/>
    <w:pPr>
      <w:spacing w:after="0" w:afterAutospacing="0"/>
    </w:pPr>
  </w:style>
  <w:style w:type="paragraph" w:styleId="1020" w:default="1">
    <w:name w:val="Normal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1021">
    <w:name w:val="Heading 1"/>
    <w:basedOn w:val="1023"/>
    <w:next w:val="1020"/>
    <w:link w:val="1040"/>
    <w:qFormat/>
    <w:pPr>
      <w:numPr>
        <w:ilvl w:val="0"/>
      </w:numPr>
      <w:outlineLvl w:val="0"/>
    </w:pPr>
    <w:rPr>
      <w:sz w:val="28"/>
      <w:szCs w:val="28"/>
    </w:rPr>
  </w:style>
  <w:style w:type="paragraph" w:styleId="1022">
    <w:name w:val="Heading 2"/>
    <w:basedOn w:val="1024"/>
    <w:next w:val="1020"/>
    <w:link w:val="1041"/>
    <w:qFormat/>
    <w:pPr>
      <w:outlineLvl w:val="1"/>
    </w:pPr>
  </w:style>
  <w:style w:type="paragraph" w:styleId="1023">
    <w:name w:val="Heading 3"/>
    <w:basedOn w:val="1020"/>
    <w:next w:val="1020"/>
    <w:link w:val="1042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1024">
    <w:name w:val="Heading 4"/>
    <w:basedOn w:val="1023"/>
    <w:next w:val="1020"/>
    <w:link w:val="1043"/>
    <w:qFormat/>
    <w:pPr>
      <w:numPr>
        <w:ilvl w:val="0"/>
        <w:numId w:val="0"/>
      </w:numPr>
      <w:ind w:left="432" w:hanging="432"/>
      <w:tabs>
        <w:tab w:val="left" w:pos="0" w:leader="none"/>
        <w:tab w:val="clear" w:pos="708" w:leader="none"/>
      </w:tabs>
      <w:outlineLvl w:val="3"/>
    </w:pPr>
    <w:rPr>
      <w:bCs/>
    </w:rPr>
  </w:style>
  <w:style w:type="paragraph" w:styleId="1025">
    <w:name w:val="Heading 5"/>
    <w:basedOn w:val="1020"/>
    <w:next w:val="1020"/>
    <w:link w:val="104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1026">
    <w:name w:val="Heading 6"/>
    <w:basedOn w:val="1020"/>
    <w:next w:val="1020"/>
    <w:link w:val="1037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1027">
    <w:name w:val="Heading 7"/>
    <w:basedOn w:val="1020"/>
    <w:next w:val="1020"/>
    <w:link w:val="1038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1028">
    <w:name w:val="Heading 8"/>
    <w:basedOn w:val="1020"/>
    <w:next w:val="1020"/>
    <w:link w:val="1039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1029">
    <w:name w:val="Heading 9"/>
    <w:basedOn w:val="1020"/>
    <w:next w:val="1020"/>
    <w:link w:val="104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1030" w:default="1">
    <w:name w:val="Default Paragraph Font"/>
    <w:uiPriority w:val="1"/>
    <w:unhideWhenUsed/>
    <w:qFormat/>
  </w:style>
  <w:style w:type="character" w:styleId="1031" w:customStyle="1">
    <w:name w:val="Символ сноски"/>
    <w:qFormat/>
    <w:rPr>
      <w:vertAlign w:val="superscript"/>
    </w:rPr>
  </w:style>
  <w:style w:type="character" w:styleId="1032">
    <w:name w:val="footnote reference"/>
    <w:rPr>
      <w:vertAlign w:val="superscript"/>
    </w:rPr>
  </w:style>
  <w:style w:type="character" w:styleId="1033">
    <w:name w:val="page number"/>
    <w:basedOn w:val="1030"/>
    <w:qFormat/>
  </w:style>
  <w:style w:type="character" w:styleId="1034">
    <w:name w:val="Hyperlink"/>
    <w:uiPriority w:val="99"/>
    <w:rPr>
      <w:color w:val="0000ff"/>
      <w:u w:val="single"/>
    </w:rPr>
  </w:style>
  <w:style w:type="character" w:styleId="1035">
    <w:name w:val="annotation reference"/>
    <w:qFormat/>
    <w:rPr>
      <w:sz w:val="16"/>
      <w:szCs w:val="16"/>
    </w:rPr>
  </w:style>
  <w:style w:type="character" w:styleId="1036" w:customStyle="1">
    <w:name w:val="Strong1"/>
    <w:qFormat/>
    <w:rPr>
      <w:b/>
      <w:bCs/>
    </w:rPr>
  </w:style>
  <w:style w:type="character" w:styleId="1037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1038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1039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040" w:customStyle="1">
    <w:name w:val="Заголовок 1 Знак"/>
    <w:qFormat/>
    <w:rPr>
      <w:rFonts w:eastAsia="Calibri"/>
      <w:b/>
      <w:sz w:val="28"/>
      <w:szCs w:val="28"/>
    </w:rPr>
  </w:style>
  <w:style w:type="character" w:styleId="1041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1042" w:customStyle="1">
    <w:name w:val="Заголовок 3 Знак"/>
    <w:qFormat/>
    <w:rPr>
      <w:rFonts w:eastAsia="Calibri"/>
      <w:b/>
      <w:sz w:val="24"/>
      <w:szCs w:val="24"/>
    </w:rPr>
  </w:style>
  <w:style w:type="character" w:styleId="1043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1044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1045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1046" w:customStyle="1">
    <w:name w:val="Название Знак"/>
    <w:link w:val="1095"/>
    <w:uiPriority w:val="10"/>
    <w:qFormat/>
    <w:rPr>
      <w:sz w:val="28"/>
    </w:rPr>
  </w:style>
  <w:style w:type="character" w:styleId="1047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8">
    <w:name w:val="Emphasis"/>
    <w:uiPriority w:val="20"/>
    <w:qFormat/>
    <w:rPr>
      <w:i/>
      <w:iCs/>
    </w:rPr>
  </w:style>
  <w:style w:type="character" w:styleId="1049" w:customStyle="1">
    <w:name w:val="Цитата 2 Знак"/>
    <w:link w:val="1125"/>
    <w:uiPriority w:val="29"/>
    <w:qFormat/>
    <w:rPr>
      <w:rFonts w:ascii="Calibri" w:hAnsi="Calibri" w:eastAsia="Calibri"/>
      <w:i/>
      <w:iCs/>
      <w:color w:val="000000"/>
    </w:rPr>
  </w:style>
  <w:style w:type="character" w:styleId="1050" w:customStyle="1">
    <w:name w:val="Выделенная цитата Знак"/>
    <w:link w:val="1126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1051">
    <w:name w:val="Subtle Emphasis"/>
    <w:uiPriority w:val="19"/>
    <w:qFormat/>
    <w:rPr>
      <w:i/>
      <w:iCs/>
      <w:color w:val="808080"/>
    </w:rPr>
  </w:style>
  <w:style w:type="character" w:styleId="1052">
    <w:name w:val="Intense Emphasis"/>
    <w:uiPriority w:val="21"/>
    <w:qFormat/>
    <w:rPr>
      <w:b/>
      <w:bCs/>
      <w:i/>
      <w:iCs/>
      <w:color w:val="4f81bd"/>
    </w:rPr>
  </w:style>
  <w:style w:type="character" w:styleId="1053">
    <w:name w:val="Subtle Reference"/>
    <w:uiPriority w:val="31"/>
    <w:qFormat/>
    <w:rPr>
      <w:smallCaps/>
      <w:color w:val="c0504d"/>
      <w:u w:val="single"/>
    </w:rPr>
  </w:style>
  <w:style w:type="character" w:styleId="105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55">
    <w:name w:val="Book Title"/>
    <w:uiPriority w:val="33"/>
    <w:qFormat/>
    <w:rPr>
      <w:b/>
      <w:bCs/>
      <w:smallCaps/>
      <w:spacing w:val="5"/>
    </w:rPr>
  </w:style>
  <w:style w:type="character" w:styleId="1056" w:customStyle="1">
    <w:name w:val="Электронная подпись Знак"/>
    <w:link w:val="1129"/>
    <w:uiPriority w:val="99"/>
    <w:qFormat/>
    <w:rPr>
      <w:rFonts w:eastAsia="Calibri"/>
      <w:sz w:val="24"/>
      <w:szCs w:val="24"/>
    </w:rPr>
  </w:style>
  <w:style w:type="character" w:styleId="1057" w:customStyle="1">
    <w:name w:val="Подпункт Знак1"/>
    <w:link w:val="1105"/>
    <w:qFormat/>
    <w:rPr>
      <w:sz w:val="28"/>
    </w:rPr>
  </w:style>
  <w:style w:type="character" w:styleId="1058" w:customStyle="1">
    <w:name w:val="Текст сноски Знак"/>
    <w:qFormat/>
  </w:style>
  <w:style w:type="character" w:styleId="1059" w:customStyle="1">
    <w:name w:val="Основной текст Знак"/>
    <w:qFormat/>
    <w:rPr>
      <w:sz w:val="28"/>
      <w:szCs w:val="28"/>
    </w:rPr>
  </w:style>
  <w:style w:type="character" w:styleId="1060" w:customStyle="1">
    <w:name w:val="blk"/>
    <w:qFormat/>
  </w:style>
  <w:style w:type="character" w:styleId="1061" w:customStyle="1">
    <w:name w:val="Абзац списка Знак"/>
    <w:link w:val="1124"/>
    <w:uiPriority w:val="34"/>
    <w:qFormat/>
    <w:rPr>
      <w:rFonts w:eastAsia="Calibri"/>
      <w:sz w:val="24"/>
      <w:szCs w:val="24"/>
    </w:rPr>
  </w:style>
  <w:style w:type="character" w:styleId="1062" w:customStyle="1">
    <w:name w:val="комментарий"/>
    <w:qFormat/>
    <w:rPr>
      <w:b/>
      <w:i/>
      <w:shd w:val="clear" w:color="auto" w:fill="ffff99"/>
    </w:rPr>
  </w:style>
  <w:style w:type="character" w:styleId="1063" w:customStyle="1">
    <w:name w:val="Подподпункт Знак"/>
    <w:link w:val="1141"/>
    <w:qFormat/>
    <w:rPr>
      <w:sz w:val="26"/>
      <w:szCs w:val="26"/>
    </w:rPr>
  </w:style>
  <w:style w:type="character" w:styleId="1064" w:customStyle="1">
    <w:name w:val="УРОВЕНЬ_Абзац_тип3 Знак"/>
    <w:link w:val="1145"/>
    <w:qFormat/>
    <w:rPr>
      <w:rFonts w:eastAsia="Calibri"/>
      <w:sz w:val="26"/>
      <w:szCs w:val="28"/>
      <w:lang w:eastAsia="en-US"/>
    </w:rPr>
  </w:style>
  <w:style w:type="character" w:styleId="1065" w:customStyle="1">
    <w:name w:val="Верхний колонтитул Знак"/>
    <w:uiPriority w:val="99"/>
    <w:qFormat/>
    <w:rPr>
      <w:sz w:val="24"/>
      <w:szCs w:val="24"/>
    </w:rPr>
  </w:style>
  <w:style w:type="character" w:styleId="1066" w:customStyle="1">
    <w:name w:val="Текст примечания Знак"/>
    <w:link w:val="1113"/>
    <w:qFormat/>
  </w:style>
  <w:style w:type="character" w:styleId="1067" w:customStyle="1">
    <w:name w:val="Текст концевой сноски Знак"/>
    <w:basedOn w:val="1030"/>
    <w:qFormat/>
  </w:style>
  <w:style w:type="character" w:styleId="1068" w:customStyle="1">
    <w:name w:val="Символ концевой сноски"/>
    <w:qFormat/>
    <w:rPr>
      <w:vertAlign w:val="superscript"/>
    </w:rPr>
  </w:style>
  <w:style w:type="character" w:styleId="1069">
    <w:name w:val="endnote reference"/>
    <w:rPr>
      <w:vertAlign w:val="superscript"/>
    </w:rPr>
  </w:style>
  <w:style w:type="character" w:styleId="1070" w:customStyle="1">
    <w:name w:val="Пункт2 Знак"/>
    <w:link w:val="1106"/>
    <w:qFormat/>
    <w:rPr>
      <w:b/>
      <w:sz w:val="28"/>
    </w:rPr>
  </w:style>
  <w:style w:type="character" w:styleId="1071" w:customStyle="1">
    <w:name w:val="УРОВЕНЬ_1. Знак"/>
    <w:link w:val="1152"/>
    <w:qFormat/>
    <w:rPr>
      <w:rFonts w:eastAsia="Calibri"/>
      <w:caps/>
      <w:sz w:val="28"/>
      <w:szCs w:val="28"/>
      <w:lang w:eastAsia="en-US"/>
    </w:rPr>
  </w:style>
  <w:style w:type="character" w:styleId="1072" w:customStyle="1">
    <w:name w:val="Неразрешенное упоминание1"/>
    <w:basedOn w:val="1030"/>
    <w:uiPriority w:val="99"/>
    <w:semiHidden/>
    <w:unhideWhenUsed/>
    <w:qFormat/>
    <w:rPr>
      <w:color w:val="605e5c"/>
      <w:shd w:val="clear" w:color="auto" w:fill="e1dfdd"/>
    </w:rPr>
  </w:style>
  <w:style w:type="character" w:styleId="1073" w:customStyle="1">
    <w:name w:val="Основной текст с отступом 3 Знак"/>
    <w:link w:val="1102"/>
    <w:qFormat/>
    <w:rPr>
      <w:sz w:val="16"/>
      <w:szCs w:val="16"/>
    </w:rPr>
  </w:style>
  <w:style w:type="character" w:styleId="1074" w:customStyle="1">
    <w:name w:val="ConsPlusNormal Знак"/>
    <w:link w:val="1135"/>
    <w:qFormat/>
    <w:rPr>
      <w:rFonts w:ascii="Arial" w:hAnsi="Arial" w:cs="Arial"/>
    </w:rPr>
  </w:style>
  <w:style w:type="character" w:styleId="1075" w:customStyle="1">
    <w:name w:val="Ссылка указателя"/>
    <w:qFormat/>
  </w:style>
  <w:style w:type="character" w:styleId="1076" w:customStyle="1">
    <w:name w:val="Strong2"/>
    <w:qFormat/>
    <w:rPr>
      <w:b/>
      <w:bCs/>
    </w:rPr>
  </w:style>
  <w:style w:type="character" w:styleId="1077">
    <w:name w:val="Strong3"/>
    <w:qFormat/>
    <w:rPr>
      <w:b/>
      <w:bCs/>
    </w:rPr>
  </w:style>
  <w:style w:type="character" w:styleId="1078">
    <w:name w:val="Font Style20"/>
    <w:qFormat/>
    <w:rPr>
      <w:rFonts w:ascii="Arial" w:hAnsi="Arial" w:cs="Arial"/>
      <w:sz w:val="20"/>
      <w:szCs w:val="20"/>
    </w:rPr>
  </w:style>
  <w:style w:type="character" w:styleId="1079">
    <w:name w:val="Strong"/>
    <w:qFormat/>
    <w:rPr>
      <w:b/>
      <w:bCs/>
    </w:rPr>
  </w:style>
  <w:style w:type="paragraph" w:styleId="1080">
    <w:name w:val="Заголовок"/>
    <w:basedOn w:val="1020"/>
    <w:next w:val="1081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1081">
    <w:name w:val="Body Text"/>
    <w:basedOn w:val="1020"/>
    <w:link w:val="1059"/>
    <w:pPr>
      <w:spacing w:before="0" w:after="120"/>
    </w:pPr>
  </w:style>
  <w:style w:type="paragraph" w:styleId="1082">
    <w:name w:val="List"/>
    <w:basedOn w:val="1081"/>
    <w:rPr>
      <w:rFonts w:cs="Arial Unicode MS"/>
    </w:rPr>
  </w:style>
  <w:style w:type="paragraph" w:styleId="1083">
    <w:name w:val="Caption"/>
    <w:basedOn w:val="1020"/>
    <w:link w:val="891"/>
    <w:qFormat/>
    <w:pPr>
      <w:spacing w:before="120" w:after="120"/>
      <w:suppressLineNumbers/>
    </w:pPr>
    <w:rPr>
      <w:rFonts w:cs="Arial Unicode MS"/>
      <w:i/>
      <w:iCs/>
      <w:sz w:val="24"/>
      <w:szCs w:val="24"/>
    </w:rPr>
  </w:style>
  <w:style w:type="paragraph" w:styleId="1084">
    <w:name w:val="Указатель"/>
    <w:basedOn w:val="1020"/>
    <w:qFormat/>
    <w:pPr>
      <w:suppressLineNumbers/>
    </w:pPr>
    <w:rPr>
      <w:rFonts w:cs="Arial Unicode MS"/>
    </w:rPr>
  </w:style>
  <w:style w:type="paragraph" w:styleId="1085">
    <w:name w:val="Title"/>
    <w:basedOn w:val="1020"/>
    <w:next w:val="1081"/>
    <w:qFormat/>
    <w:pPr>
      <w:keepNext/>
      <w:spacing w:before="240" w:after="120"/>
    </w:pPr>
    <w:rPr>
      <w:rFonts w:ascii="Liberation Sans" w:hAnsi="Liberation Sans" w:eastAsia="Noto Sans CJK SC" w:cs="Arial Unicode MS"/>
    </w:rPr>
  </w:style>
  <w:style w:type="paragraph" w:styleId="1086">
    <w:name w:val="caption1"/>
    <w:basedOn w:val="1020"/>
    <w:qFormat/>
    <w:pPr>
      <w:spacing w:before="120" w:after="120"/>
      <w:suppressLineNumbers/>
    </w:pPr>
    <w:rPr>
      <w:rFonts w:cs="Arial Unicode MS"/>
      <w:i/>
      <w:iCs/>
      <w:sz w:val="24"/>
      <w:szCs w:val="24"/>
    </w:rPr>
  </w:style>
  <w:style w:type="paragraph" w:styleId="1087">
    <w:name w:val="index heading1"/>
    <w:basedOn w:val="1085"/>
    <w:qFormat/>
  </w:style>
  <w:style w:type="paragraph" w:styleId="1088" w:customStyle="1">
    <w:name w:val="Название раздела инструкции"/>
    <w:basedOn w:val="1020"/>
    <w:qFormat/>
    <w:pPr>
      <w:jc w:val="center"/>
    </w:pPr>
    <w:rPr>
      <w:b/>
    </w:rPr>
  </w:style>
  <w:style w:type="paragraph" w:styleId="1089" w:customStyle="1">
    <w:name w:val="Раздел положения"/>
    <w:basedOn w:val="1020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90" w:customStyle="1">
    <w:name w:val="Подраздел раздела положения"/>
    <w:basedOn w:val="1020"/>
    <w:qFormat/>
    <w:pPr>
      <w:numPr>
        <w:ilvl w:val="1"/>
        <w:numId w:val="1"/>
      </w:numPr>
      <w:jc w:val="both"/>
      <w:spacing w:before="80" w:after="80"/>
    </w:pPr>
  </w:style>
  <w:style w:type="paragraph" w:styleId="1091">
    <w:name w:val="footnote text"/>
    <w:basedOn w:val="1020"/>
    <w:link w:val="1058"/>
    <w:rPr>
      <w:sz w:val="20"/>
      <w:szCs w:val="20"/>
    </w:rPr>
  </w:style>
  <w:style w:type="paragraph" w:styleId="1092" w:customStyle="1">
    <w:name w:val="Шапка 1"/>
    <w:basedOn w:val="1020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1093" w:customStyle="1">
    <w:name w:val="Шапка 2"/>
    <w:basedOn w:val="1020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94" w:customStyle="1">
    <w:name w:val="Шапка 3"/>
    <w:basedOn w:val="1020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95" w:customStyle="1">
    <w:name w:val="Название1"/>
    <w:basedOn w:val="1020"/>
    <w:link w:val="1046"/>
    <w:uiPriority w:val="10"/>
    <w:qFormat/>
    <w:pPr>
      <w:jc w:val="center"/>
    </w:pPr>
    <w:rPr>
      <w:szCs w:val="20"/>
    </w:rPr>
  </w:style>
  <w:style w:type="paragraph" w:styleId="1096" w:customStyle="1">
    <w:name w:val="Колонтитул"/>
    <w:basedOn w:val="1020"/>
    <w:qFormat/>
  </w:style>
  <w:style w:type="paragraph" w:styleId="1097">
    <w:name w:val="Header"/>
    <w:basedOn w:val="1020"/>
    <w:link w:val="1065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98">
    <w:name w:val="Body Text Indent"/>
    <w:basedOn w:val="1020"/>
    <w:pPr>
      <w:ind w:left="360" w:firstLine="0"/>
    </w:pPr>
    <w:rPr>
      <w:sz w:val="24"/>
      <w:szCs w:val="24"/>
    </w:rPr>
  </w:style>
  <w:style w:type="paragraph" w:styleId="1099">
    <w:name w:val="Footer"/>
    <w:basedOn w:val="1020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100">
    <w:name w:val="Body Text Indent 2"/>
    <w:basedOn w:val="1020"/>
    <w:qFormat/>
    <w:pPr>
      <w:ind w:left="283" w:firstLine="0"/>
      <w:spacing w:before="0" w:after="120" w:line="480" w:lineRule="auto"/>
    </w:pPr>
  </w:style>
  <w:style w:type="paragraph" w:styleId="1101">
    <w:name w:val="Body Text 3"/>
    <w:basedOn w:val="1020"/>
    <w:qFormat/>
    <w:pPr>
      <w:spacing w:before="0" w:after="120"/>
    </w:pPr>
    <w:rPr>
      <w:sz w:val="16"/>
      <w:szCs w:val="16"/>
    </w:rPr>
  </w:style>
  <w:style w:type="paragraph" w:styleId="1102">
    <w:name w:val="Body Text Indent 3"/>
    <w:basedOn w:val="1020"/>
    <w:link w:val="1073"/>
    <w:qFormat/>
    <w:pPr>
      <w:ind w:left="283" w:firstLine="0"/>
      <w:spacing w:before="0" w:after="120"/>
    </w:pPr>
    <w:rPr>
      <w:sz w:val="16"/>
      <w:szCs w:val="16"/>
    </w:rPr>
  </w:style>
  <w:style w:type="paragraph" w:styleId="1103">
    <w:name w:val="Body Text 2"/>
    <w:basedOn w:val="1020"/>
    <w:qFormat/>
    <w:pPr>
      <w:spacing w:before="0" w:after="120" w:line="480" w:lineRule="auto"/>
    </w:pPr>
  </w:style>
  <w:style w:type="paragraph" w:styleId="1104">
    <w:name w:val="Block Text"/>
    <w:basedOn w:val="1020"/>
    <w:qFormat/>
    <w:pPr>
      <w:ind w:left="-567" w:right="-766" w:firstLine="0"/>
      <w:jc w:val="center"/>
    </w:pPr>
    <w:rPr>
      <w:b/>
      <w:bCs/>
      <w:sz w:val="24"/>
      <w:szCs w:val="20"/>
    </w:rPr>
  </w:style>
  <w:style w:type="paragraph" w:styleId="1105" w:customStyle="1">
    <w:name w:val="Подпункт"/>
    <w:basedOn w:val="1020"/>
    <w:link w:val="1057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1106" w:customStyle="1">
    <w:name w:val="Пункт2"/>
    <w:basedOn w:val="1020"/>
    <w:link w:val="1070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1107">
    <w:name w:val="toc 1"/>
    <w:basedOn w:val="1020"/>
    <w:next w:val="1020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1108">
    <w:name w:val="toc 3"/>
    <w:basedOn w:val="1020"/>
    <w:next w:val="1020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1109" w:customStyle="1">
    <w:name w:val="Раздел регламента"/>
    <w:basedOn w:val="1020"/>
    <w:qFormat/>
  </w:style>
  <w:style w:type="paragraph" w:styleId="1110" w:customStyle="1">
    <w:name w:val="Приложение к регламенту"/>
    <w:basedOn w:val="1020"/>
    <w:qFormat/>
    <w:pPr>
      <w:jc w:val="right"/>
    </w:pPr>
  </w:style>
  <w:style w:type="paragraph" w:styleId="1111">
    <w:name w:val="toc 2"/>
    <w:basedOn w:val="1020"/>
    <w:next w:val="1020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1112">
    <w:name w:val="Balloon Text"/>
    <w:basedOn w:val="1020"/>
    <w:semiHidden/>
    <w:qFormat/>
    <w:rPr>
      <w:rFonts w:ascii="Tahoma" w:hAnsi="Tahoma" w:cs="Tahoma"/>
      <w:sz w:val="16"/>
      <w:szCs w:val="16"/>
    </w:rPr>
  </w:style>
  <w:style w:type="paragraph" w:styleId="1113">
    <w:name w:val="annotation text"/>
    <w:basedOn w:val="1020"/>
    <w:link w:val="1066"/>
    <w:qFormat/>
    <w:rPr>
      <w:sz w:val="20"/>
      <w:szCs w:val="20"/>
    </w:rPr>
  </w:style>
  <w:style w:type="paragraph" w:styleId="1114">
    <w:name w:val="annotation subject"/>
    <w:basedOn w:val="1113"/>
    <w:next w:val="1113"/>
    <w:semiHidden/>
    <w:qFormat/>
    <w:rPr>
      <w:b/>
      <w:bCs/>
    </w:rPr>
  </w:style>
  <w:style w:type="paragraph" w:styleId="1115" w:customStyle="1">
    <w:name w:val="Обычный (веб)1"/>
    <w:basedOn w:val="1020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1116">
    <w:name w:val="toc 9"/>
    <w:basedOn w:val="1020"/>
    <w:next w:val="1020"/>
    <w:semiHidden/>
    <w:pPr>
      <w:ind w:left="196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117">
    <w:name w:val="toc 5"/>
    <w:basedOn w:val="1020"/>
    <w:next w:val="1020"/>
    <w:semiHidden/>
    <w:pPr>
      <w:ind w:left="84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118">
    <w:name w:val="toc 4"/>
    <w:basedOn w:val="1020"/>
    <w:next w:val="1020"/>
    <w:uiPriority w:val="39"/>
    <w:pPr>
      <w:ind w:left="560" w:firstLine="0"/>
    </w:pPr>
    <w:rPr>
      <w:rFonts w:cs="Calibri" w:cstheme="minorHAnsi"/>
      <w:sz w:val="20"/>
      <w:szCs w:val="20"/>
    </w:rPr>
  </w:style>
  <w:style w:type="paragraph" w:styleId="1119" w:customStyle="1">
    <w:name w:val="Раздел положения 2"/>
    <w:basedOn w:val="1020"/>
    <w:qFormat/>
    <w:pPr>
      <w:jc w:val="both"/>
      <w:pageBreakBefore/>
      <w:outlineLvl w:val="0"/>
    </w:pPr>
    <w:rPr>
      <w:b/>
    </w:rPr>
  </w:style>
  <w:style w:type="paragraph" w:styleId="1120" w:customStyle="1">
    <w:name w:val="Знак Знак Знак Знак Знак Знак Знак Знак Знак"/>
    <w:basedOn w:val="1020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121">
    <w:name w:val="No Spacing"/>
    <w:basedOn w:val="102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122" w:customStyle="1">
    <w:name w:val="caption11"/>
    <w:basedOn w:val="1020"/>
    <w:next w:val="1020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1123">
    <w:name w:val="Subtitle"/>
    <w:basedOn w:val="1020"/>
    <w:next w:val="1020"/>
    <w:link w:val="104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1124">
    <w:name w:val="List Paragraph"/>
    <w:basedOn w:val="1020"/>
    <w:link w:val="1061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1125">
    <w:name w:val="Quote"/>
    <w:basedOn w:val="1020"/>
    <w:next w:val="1020"/>
    <w:link w:val="1049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1126">
    <w:name w:val="Intense Quote"/>
    <w:basedOn w:val="1020"/>
    <w:next w:val="1020"/>
    <w:link w:val="1050"/>
    <w:uiPriority w:val="30"/>
    <w:qFormat/>
    <w:pPr>
      <w:ind w:left="936" w:right="936" w:firstLine="0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1127">
    <w:name w:val="Index Heading"/>
    <w:basedOn w:val="1080"/>
  </w:style>
  <w:style w:type="paragraph" w:styleId="1128">
    <w:name w:val="TOC Heading"/>
    <w:basedOn w:val="1021"/>
    <w:next w:val="1020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1129">
    <w:name w:val="E-mail Signature"/>
    <w:basedOn w:val="1020"/>
    <w:link w:val="1056"/>
    <w:uiPriority w:val="99"/>
    <w:unhideWhenUsed/>
    <w:qFormat/>
    <w:rPr>
      <w:rFonts w:eastAsia="Calibri"/>
      <w:sz w:val="24"/>
      <w:szCs w:val="24"/>
    </w:rPr>
  </w:style>
  <w:style w:type="paragraph" w:styleId="1130" w:customStyle="1">
    <w:name w:val="Знак"/>
    <w:basedOn w:val="1020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1" w:customStyle="1">
    <w:name w:val="Нумерованный список ур3"/>
    <w:basedOn w:val="1020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132" w:customStyle="1">
    <w:name w:val="Маркированный список 41"/>
    <w:basedOn w:val="1020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133" w:customStyle="1">
    <w:name w:val="Нумерованный список ур2"/>
    <w:basedOn w:val="1020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134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Times New Roman"/>
      <w:color w:val="auto"/>
      <w:sz w:val="24"/>
      <w:szCs w:val="24"/>
      <w:lang w:val="ru-RU" w:eastAsia="ru-RU" w:bidi="ar-SA"/>
    </w:rPr>
  </w:style>
  <w:style w:type="paragraph" w:styleId="1135" w:customStyle="1">
    <w:name w:val="ConsPlusNormal"/>
    <w:link w:val="1074"/>
    <w:qFormat/>
    <w:pPr>
      <w:ind w:firstLine="720"/>
      <w:jc w:val="left"/>
      <w:spacing w:before="0" w:after="0"/>
      <w:widowControl w:val="off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1136" w:customStyle="1">
    <w:name w:val="Знак Знак3 Знак Знак"/>
    <w:basedOn w:val="1020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137" w:customStyle="1">
    <w:name w:val="Пункт"/>
    <w:basedOn w:val="1020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1138" w:customStyle="1">
    <w:name w:val="Абзац списка1"/>
    <w:basedOn w:val="1020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139" w:customStyle="1">
    <w:name w:val="Таблица"/>
    <w:basedOn w:val="102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140" w:customStyle="1">
    <w:name w:val="Таблица шапка"/>
    <w:basedOn w:val="1020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1141" w:customStyle="1">
    <w:name w:val="Подподпункт"/>
    <w:basedOn w:val="1105"/>
    <w:link w:val="1063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1142" w:customStyle="1">
    <w:name w:val="УРОВЕНЬ_(а)"/>
    <w:basedOn w:val="1124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1143" w:customStyle="1">
    <w:name w:val="УРОВЕНЬ_-"/>
    <w:basedOn w:val="1124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1144" w:customStyle="1">
    <w:name w:val="УРОВЕНЬ_Абзац_тип2"/>
    <w:basedOn w:val="1124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145" w:customStyle="1">
    <w:name w:val="УРОВЕНЬ_Абзац_тип3"/>
    <w:basedOn w:val="1124"/>
    <w:link w:val="1064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146" w:customStyle="1">
    <w:name w:val="УРОВЕНЬ_Подпись"/>
    <w:basedOn w:val="1124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147" w:customStyle="1">
    <w:name w:val="Стиль Заголовок 1 + по ширине"/>
    <w:basedOn w:val="1021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1148">
    <w:name w:val="endnote text"/>
    <w:basedOn w:val="1020"/>
    <w:link w:val="1067"/>
    <w:rPr>
      <w:sz w:val="20"/>
      <w:szCs w:val="20"/>
    </w:rPr>
  </w:style>
  <w:style w:type="paragraph" w:styleId="1149" w:customStyle="1">
    <w:name w:val="Заголовок 2 КВВ"/>
    <w:basedOn w:val="1020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150" w:customStyle="1">
    <w:name w:val="Таблица текст"/>
    <w:basedOn w:val="1020"/>
    <w:qFormat/>
    <w:pPr>
      <w:ind w:left="57" w:right="57" w:firstLine="0"/>
      <w:spacing w:before="40" w:after="40"/>
    </w:pPr>
    <w:rPr>
      <w:sz w:val="24"/>
      <w:szCs w:val="26"/>
    </w:rPr>
  </w:style>
  <w:style w:type="paragraph" w:styleId="1151">
    <w:name w:val="Normal (Web)"/>
    <w:basedOn w:val="1020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152" w:customStyle="1">
    <w:name w:val="УРОВЕНЬ_1."/>
    <w:basedOn w:val="1124"/>
    <w:link w:val="1071"/>
    <w:qFormat/>
    <w:pPr>
      <w:contextualSpacing w:val="0"/>
      <w:ind w:left="0" w:firstLine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153">
    <w:name w:val="toc 6"/>
    <w:basedOn w:val="1020"/>
    <w:next w:val="1020"/>
    <w:unhideWhenUsed/>
    <w:pPr>
      <w:ind w:left="112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154">
    <w:name w:val="toc 7"/>
    <w:basedOn w:val="1020"/>
    <w:next w:val="1020"/>
    <w:unhideWhenUsed/>
    <w:pPr>
      <w:ind w:left="140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155">
    <w:name w:val="toc 8"/>
    <w:basedOn w:val="1020"/>
    <w:next w:val="1020"/>
    <w:unhideWhenUsed/>
    <w:pPr>
      <w:ind w:left="168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156" w:customStyle="1">
    <w:name w:val="headertext"/>
    <w:basedOn w:val="1020"/>
    <w:qFormat/>
    <w:pPr>
      <w:spacing w:beforeAutospacing="1" w:afterAutospacing="1"/>
    </w:pPr>
    <w:rPr>
      <w:sz w:val="24"/>
      <w:szCs w:val="24"/>
    </w:rPr>
  </w:style>
  <w:style w:type="paragraph" w:styleId="1157" w:customStyle="1">
    <w:name w:val="formattext"/>
    <w:basedOn w:val="1020"/>
    <w:qFormat/>
    <w:pPr>
      <w:spacing w:beforeAutospacing="1" w:afterAutospacing="1"/>
    </w:pPr>
    <w:rPr>
      <w:sz w:val="24"/>
      <w:szCs w:val="24"/>
    </w:rPr>
  </w:style>
  <w:style w:type="paragraph" w:styleId="1158" w:customStyle="1">
    <w:name w:val="ListNum"/>
    <w:qFormat/>
    <w:pPr>
      <w:jc w:val="both"/>
      <w:spacing w:before="60" w:after="0"/>
      <w:widowControl w:val="off"/>
      <w:tabs>
        <w:tab w:val="left" w:pos="284" w:leader="none"/>
        <w:tab w:val="clear" w:pos="708" w:leader="none"/>
        <w:tab w:val="left" w:pos="1260" w:leader="none"/>
      </w:tabs>
    </w:pPr>
    <w:rPr>
      <w:rFonts w:ascii="Times New Roman" w:hAnsi="Times New Roman" w:eastAsia="Times New Roman" w:cs="Times New Roman"/>
      <w:color w:val="000000"/>
      <w:sz w:val="22"/>
      <w:szCs w:val="22"/>
      <w:u w:val="none"/>
      <w:lang w:val="ru-RU" w:eastAsia="ru-RU" w:bidi="ar-SA"/>
    </w:rPr>
  </w:style>
  <w:style w:type="paragraph" w:styleId="1159" w:customStyle="1">
    <w:name w:val="Default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1160" w:customStyle="1">
    <w:name w:val="Содержимое врезки"/>
    <w:basedOn w:val="1020"/>
    <w:qFormat/>
  </w:style>
  <w:style w:type="paragraph" w:styleId="1161" w:customStyle="1">
    <w:name w:val="Содержимое таблицы"/>
    <w:basedOn w:val="1020"/>
    <w:qFormat/>
    <w:pPr>
      <w:widowControl w:val="off"/>
      <w:suppressLineNumbers/>
    </w:pPr>
  </w:style>
  <w:style w:type="paragraph" w:styleId="1162" w:customStyle="1">
    <w:name w:val="Заголовок таблицы"/>
    <w:basedOn w:val="1161"/>
    <w:qFormat/>
    <w:pPr>
      <w:jc w:val="center"/>
    </w:pPr>
    <w:rPr>
      <w:b/>
      <w:bCs/>
    </w:rPr>
  </w:style>
  <w:style w:type="numbering" w:styleId="1163" w:default="1">
    <w:name w:val="No List"/>
    <w:uiPriority w:val="99"/>
    <w:semiHidden/>
    <w:unhideWhenUsed/>
    <w:qFormat/>
  </w:style>
  <w:style w:type="numbering" w:styleId="1164" w:customStyle="1">
    <w:name w:val="Стиль1"/>
    <w:uiPriority w:val="99"/>
    <w:qFormat/>
  </w:style>
  <w:style w:type="numbering" w:styleId="1165" w:customStyle="1">
    <w:name w:val="Стиль2"/>
    <w:uiPriority w:val="99"/>
    <w:qFormat/>
  </w:style>
  <w:style w:type="table" w:styleId="116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67">
    <w:name w:val="Table Grid"/>
    <w:basedOn w:val="1166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8" w:customStyle="1">
    <w:name w:val="Сетка таблицы1"/>
    <w:basedOn w:val="1166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header" Target="header9.xml" /><Relationship Id="rId18" Type="http://schemas.openxmlformats.org/officeDocument/2006/relationships/header" Target="header10.xml" /><Relationship Id="rId19" Type="http://schemas.openxmlformats.org/officeDocument/2006/relationships/header" Target="header11.xml" /><Relationship Id="rId20" Type="http://schemas.openxmlformats.org/officeDocument/2006/relationships/header" Target="header12.xml" /><Relationship Id="rId21" Type="http://schemas.openxmlformats.org/officeDocument/2006/relationships/header" Target="header13.xml" /><Relationship Id="rId22" Type="http://schemas.openxmlformats.org/officeDocument/2006/relationships/customXml" Target="../customXml/item1.xml" /><Relationship Id="rId23" Type="http://schemas.openxmlformats.org/officeDocument/2006/relationships/hyperlink" Target="http://nikitenko-ro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10.xml.rels><?xml version="1.0" encoding="UTF-8" standalone="yes"?><Relationships xmlns="http://schemas.openxmlformats.org/package/2006/relationships"></Relationships>
</file>

<file path=word/_rels/header11.xml.rels><?xml version="1.0" encoding="UTF-8" standalone="yes"?><Relationships xmlns="http://schemas.openxmlformats.org/package/2006/relationships"></Relationships>
</file>

<file path=word/_rels/header12.xml.rels><?xml version="1.0" encoding="UTF-8" standalone="yes"?><Relationships xmlns="http://schemas.openxmlformats.org/package/2006/relationships"></Relationships>
</file>

<file path=word/_rels/header13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95BB9-07AF-4E22-ADA0-9BF2E9812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ivanova_sa</cp:lastModifiedBy>
  <cp:revision>47</cp:revision>
  <dcterms:created xsi:type="dcterms:W3CDTF">2023-12-04T13:59:00Z</dcterms:created>
  <dcterms:modified xsi:type="dcterms:W3CDTF">2026-08-25T00:33:43Z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